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版本号：ZY2026-ZB-CS107420260609002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2026年西安市福利彩票发行中心宣传视频制作播放项目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ZY2026-ZB-CS1074</w:t>
      </w:r>
      <w:r>
        <w:br/>
      </w:r>
      <w:r>
        <w:br/>
      </w:r>
      <w:r>
        <w:br/>
      </w:r>
    </w:p>
    <w:p>
      <w:pPr>
        <w:pStyle w:val="null3"/>
        <w:jc w:val="center"/>
        <w:outlineLvl w:val="2"/>
      </w:pPr>
      <w:r>
        <w:rPr>
          <w:rFonts w:ascii="仿宋_GB2312" w:hAnsi="仿宋_GB2312" w:cs="仿宋_GB2312" w:eastAsia="仿宋_GB2312"/>
          <w:sz w:val="28"/>
          <w:b/>
        </w:rPr>
        <w:t>西安市福利彩票发行中心（本级）</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西安市福利彩票发行中心（本级）</w:t>
      </w:r>
      <w:r>
        <w:rPr>
          <w:rFonts w:ascii="仿宋_GB2312" w:hAnsi="仿宋_GB2312" w:cs="仿宋_GB2312" w:eastAsia="仿宋_GB2312"/>
        </w:rPr>
        <w:t>委托，拟对</w:t>
      </w:r>
      <w:r>
        <w:rPr>
          <w:rFonts w:ascii="仿宋_GB2312" w:hAnsi="仿宋_GB2312" w:cs="仿宋_GB2312" w:eastAsia="仿宋_GB2312"/>
        </w:rPr>
        <w:t>2026年西安市福利彩票发行中心宣传视频制作播放项目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ZY2026-ZB-CS1074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2026年西安市福利彩票发行中心宣传视频制作播放项目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制作时长2分钟以上3分钟以内福彩品牌宣传公共媒体播放片1部，制作总时长不少于12分钟的复杂类福彩公益金使用纪录片2部，并在市级媒体上播出，立体多维地展现西安市福利彩票的公益形象和社会价值。</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采购包1（2026年西安市福利彩票发行中心宣传视频制作播放项目）：属于专门面向中小企业采购。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1、营业执照等主体资格证明文件：提供有效合格的具有统一社会信用代码的营业执照，其他组织经营的需提供合法凭证，自然人提供身份证明文件。</w:t>
      </w:r>
    </w:p>
    <w:p>
      <w:pPr>
        <w:pStyle w:val="null3"/>
      </w:pPr>
      <w:r>
        <w:rPr>
          <w:rFonts w:ascii="仿宋_GB2312" w:hAnsi="仿宋_GB2312" w:cs="仿宋_GB2312" w:eastAsia="仿宋_GB2312"/>
        </w:rPr>
        <w:t>2、财务状况报告：提供2024年度或2025年度经审计的完整财务报告或磋商截止日前三个月内其基本存款账户开户银行出具的资信证明。（如提供资信证明，须同时提供基本存款账户开户许可证或基本账户信息表）。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3、税收缴纳证明：提供磋商截止时间前6个月内的至少一个月的纳税证明（时间以税款所属日期为准)，依法免税的单位应提供相关证明材料。</w:t>
      </w:r>
    </w:p>
    <w:p>
      <w:pPr>
        <w:pStyle w:val="null3"/>
      </w:pPr>
      <w:r>
        <w:rPr>
          <w:rFonts w:ascii="仿宋_GB2312" w:hAnsi="仿宋_GB2312" w:cs="仿宋_GB2312" w:eastAsia="仿宋_GB2312"/>
        </w:rPr>
        <w:t>4、社会保障资金缴纳证明：提供磋商截止时间前6个月内至少一个月的社会保障资金缴存单据或社保机构开具的社会保险参保缴费情况证明，依法不需要缴纳社会保障资金的单位应提供相关证明材料。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5、具有履行本合同所必需的设备和专业技术能力：提供具有履行本合同所必需的设备和专业技术能力的书面声明及承诺。</w:t>
      </w:r>
    </w:p>
    <w:p>
      <w:pPr>
        <w:pStyle w:val="null3"/>
      </w:pPr>
      <w:r>
        <w:rPr>
          <w:rFonts w:ascii="仿宋_GB2312" w:hAnsi="仿宋_GB2312" w:cs="仿宋_GB2312" w:eastAsia="仿宋_GB2312"/>
        </w:rPr>
        <w:t>6、参加本次政府采购活动前三年内在经营活动中没有重大违法记录：提供参加本次政府采购活动前三年内在经营活动中没有重大违法记录的书面声明。</w:t>
      </w:r>
    </w:p>
    <w:p>
      <w:pPr>
        <w:pStyle w:val="null3"/>
      </w:pPr>
      <w:r>
        <w:rPr>
          <w:rFonts w:ascii="仿宋_GB2312" w:hAnsi="仿宋_GB2312" w:cs="仿宋_GB2312" w:eastAsia="仿宋_GB2312"/>
        </w:rPr>
        <w:t>7、控股关系：单位负责人为同一人或者存在直接控股、管理关系的不同投标人，不得同时参加本项目磋商，提供企业关联关系的声明函。</w:t>
      </w:r>
    </w:p>
    <w:p>
      <w:pPr>
        <w:pStyle w:val="null3"/>
      </w:pPr>
      <w:r>
        <w:rPr>
          <w:rFonts w:ascii="仿宋_GB2312" w:hAnsi="仿宋_GB2312" w:cs="仿宋_GB2312" w:eastAsia="仿宋_GB2312"/>
        </w:rPr>
        <w:t>8、信用记录：未被列入信用中国网站(www.creditchina.gov.cn)“失信被执行人、重大税收违法失信主体”；不处于中国政府采购网(www.ccgp.gov.cn)“政府采购严重违法失信行为信息记录”中的禁止参加政府采购活动期间。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9、授权委托书：法定代表人授权委托书、被授权人身份证复印件（法定代表人参加投标时,只需提供法定代表人身份证复印件；被授权人参加磋商时，需提供磋商前（不含磋商当月）三个月至少一个月的社会保险缴费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西安市福利彩票发行中心（本级）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西安市未央区北二环369号华帝金座A座9A</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02986276319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陕西省西安市经济技术开发区凤城五路123号秦创原·软科中心B座11层1101室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王甜甜、张晶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029-86210100转604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各采购包中标金额为基数，参考国家计委颁布《招标代理服务收费管理暂行办法》（计价格[2002]1980号）和国家发展和改革委员会办公厅颁发的《关于招标代理服务收费有关问题的通知》（发改办价格[2003]857号）文件规定执行，不足8000元，按8000元收取。 收款账户如下： 收款单位：陕西正翼项目管理咨询有限公司西安分公司； 开户银行：中国光大银行股份有限公司西安经济技术开发区支行； 银行账号：78680188000360910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西安市福利彩票发行中心（本级）</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西安市福利彩票发行中心（本级）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西安市福利彩票发行中心（本级）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成交供应商提交项目所有的成果报告后，由采购人和成交供应商共同对项目进行整体验收。拍摄内容符合主题和时长要求，符合国家宣传政策要求，符合社会主义核心价值观，画面和谐，并在市级媒体播出。</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联系人：王甜</w:t>
      </w:r>
    </w:p>
    <w:p>
      <w:pPr>
        <w:pStyle w:val="null3"/>
      </w:pPr>
      <w:r>
        <w:rPr>
          <w:rFonts w:ascii="仿宋_GB2312" w:hAnsi="仿宋_GB2312" w:cs="仿宋_GB2312" w:eastAsia="仿宋_GB2312"/>
        </w:rPr>
        <w:t>联系电话：029-86210100转604</w:t>
      </w:r>
    </w:p>
    <w:p>
      <w:pPr>
        <w:pStyle w:val="null3"/>
      </w:pPr>
      <w:r>
        <w:rPr>
          <w:rFonts w:ascii="仿宋_GB2312" w:hAnsi="仿宋_GB2312" w:cs="仿宋_GB2312" w:eastAsia="仿宋_GB2312"/>
        </w:rPr>
        <w:t>地址：陕西省西安市经济技术开发区凤城五路123号秦创原·软科中心B座11层1101室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2026年西安市福利彩票发行中心宣传视频制作播放项目。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rPr>
              <w:t>服务内容：制作时长</w:t>
            </w:r>
            <w:r>
              <w:rPr>
                <w:rFonts w:ascii="仿宋_GB2312" w:hAnsi="仿宋_GB2312" w:cs="仿宋_GB2312" w:eastAsia="仿宋_GB2312"/>
                <w:sz w:val="21"/>
              </w:rPr>
              <w:t>2分钟以上3分钟以内福彩品牌宣传公共媒体播放片1部，制作总时长不少于12分钟的复杂类福彩公益金使用纪录片2部，并在市级媒体上播出。</w:t>
            </w:r>
          </w:p>
          <w:p>
            <w:pPr>
              <w:pStyle w:val="null3"/>
              <w:ind w:firstLine="420"/>
              <w:jc w:val="both"/>
            </w:pPr>
            <w:r>
              <w:rPr>
                <w:rFonts w:ascii="仿宋_GB2312" w:hAnsi="仿宋_GB2312" w:cs="仿宋_GB2312" w:eastAsia="仿宋_GB2312"/>
                <w:sz w:val="21"/>
              </w:rPr>
              <w:t>服务标准：公共媒体播放片</w:t>
            </w:r>
            <w:r>
              <w:rPr>
                <w:rFonts w:ascii="仿宋_GB2312" w:hAnsi="仿宋_GB2312" w:cs="仿宋_GB2312" w:eastAsia="仿宋_GB2312"/>
                <w:sz w:val="21"/>
              </w:rPr>
              <w:t>1部，时长2分钟以上3分钟以内，复杂类福彩公益金使用纪录片2部，总时长不少于12分钟，并在市级媒体上播出。</w:t>
            </w:r>
            <w:r>
              <w:rPr>
                <w:rFonts w:ascii="仿宋_GB2312" w:hAnsi="仿宋_GB2312" w:cs="仿宋_GB2312" w:eastAsia="仿宋_GB2312"/>
                <w:sz w:val="21"/>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满足本项目需求及磋商文件要求。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满足本项目需求及磋商文件要求。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满足本项目需求及磋商文件要求。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签订合同后3个月内完成宣传片制作、播发工作。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进度款，验收交付完成，达到付款条件起10个工作日内，支付合同总金额的100.0%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根据甲乙双方最终合同约定执行。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供应商的磋商报价是供应商响应磋商项目要求的全部工作内容的价格体现，包括供应商完成本项目所需的直接费用、间接费、利润、税金及其它相关的一切费用，包括但不限于：人工费、设备使用费、资料费、管理费、验收费、利润、税金及不可预见费等全部费用；在提供服务的过程中的任何遗漏，均由成交供应商免费提供，采购人将不再支付任何费用。 二、磋商有效期 1.出现特殊情况需要延长磋商有效期的，采购代理机构或采购人可于磋商有效期满之前，以书面形式通知所有供应商延长磋商有效期。 2.在磋商有效期内，供应商撤销响应文件的，应承担磋商文件和法律规定的责任。 3.成交供应商的磋商有效期自动延长至合同终止为止。 三、合格供应商少于3家的处理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 2.评审过程中，除符合第1条条款规定情形外，若出现合格供应商少于3家时，采购人应依法重新组织采购活动。 四、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 五、文件中签名是指：手写签名或加盖签名章（含电子），盖章是指加盖单位章（含电子）。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（1）《中华人民共和国刑法》第243条【诬告陷害罪】捏造事实诬告陷害他人，意图使他人受到刑事追究，情节严重的，处三年以下有期徒刑、拘役或者管制；造成严重后果的，处三年以上十年以下有期徒刑。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参与本项目的供应商应通过陕西省政府采购综合管理平台的项目电子化交易系统在线实施报名、获取采购文件、响应、报价等操作，供应商无需现场提供纸质响应文件。但在中标（成交）后，中标（成交）供应商在领取中标（成交）通知书时需提供纸质响应文件正本一套、副本一套（电子版U盘一份）用于备案，纸质响应文件应通过专用制作软件直接打印，确保与项目电子化交易系统中的电子响应文件保持一致，不允许修改和补充。中标（成交）通知书领取地址：陕西省西安市经济技术开发区凤城五路123号秦创原·软科中心B座11层1101室招采部。八、（响应文件格式-标的清单）本项目服务范围：2026年西安市福利彩票发行中心宣传视频制作播放项目；服务要求：符合采购文件有关技术、商务要求；服务时间：签订合同后3个月内完成宣传片制作、播发工作。服务标准：符合国家和省、市有关行业标准及采购人的有关规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其他附件.docx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其他附件.docx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提供有效合格的具有统一社会信用代码的营业执照，其他组织经营的需提供合法凭证，自然人提供身份证明文件。</w:t>
            </w:r>
          </w:p>
        </w:tc>
        <w:tc>
          <w:tcPr>
            <w:tcW w:type="dxa" w:w="1661"/>
          </w:tcPr>
          <w:p>
            <w:pPr>
              <w:pStyle w:val="null3"/>
            </w:pPr>
            <w:r>
              <w:rPr>
                <w:rFonts w:ascii="仿宋_GB2312" w:hAnsi="仿宋_GB2312" w:cs="仿宋_GB2312" w:eastAsia="仿宋_GB2312"/>
              </w:rPr>
              <w:t>响应文件封面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提供2024年度或2025年度经审计的完整财务报告或磋商截止日前三个月内其基本存款账户开户银行出具的资信证明。（如提供资信证明，须同时提供基本存款账户开户许可证或基本账户信息表）。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提供磋商截止时间前6个月内的至少一个月的纳税证明（时间以税款所属日期为准)，依法免税的单位应提供相关证明材料。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提供磋商截止时间前6个月内至少一个月的社会保障资金缴存单据或社保机构开具的社会保险参保缴费情况证明，依法不需要缴纳社会保障资金的单位应提供相关证明材料。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提供具有履行本合同所必需的设备和专业技术能力的书面声明及承诺。</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单位负责人为同一人或者存在直接控股、管理关系的不同投标人，不得同时参加本项目磋商，提供企业关联关系的声明函。</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法定代表人授权委托书、被授权人身份证复印件（法定代表人参加投标时,只需提供法定代表人身份证复印件；被授权人参加磋商时，需提供磋商前（不含磋商当月）三个月至少一个月的社会保险缴费证明）。</w:t>
            </w:r>
          </w:p>
        </w:tc>
        <w:tc>
          <w:tcPr>
            <w:tcW w:type="dxa" w:w="1661"/>
          </w:tcPr>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服务内容及服务要求应答表 报价表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响应文件的签署、盖章及格式</w:t>
            </w:r>
          </w:p>
        </w:tc>
        <w:tc>
          <w:tcPr>
            <w:tcW w:type="dxa" w:w="3322"/>
          </w:tcPr>
          <w:p>
            <w:pPr>
              <w:pStyle w:val="null3"/>
            </w:pPr>
            <w:r>
              <w:rPr>
                <w:rFonts w:ascii="仿宋_GB2312" w:hAnsi="仿宋_GB2312" w:cs="仿宋_GB2312" w:eastAsia="仿宋_GB2312"/>
              </w:rPr>
              <w:t>符合采购文件中有关“响应文件格式”及签署、盖章要求 （注：不得因文件排序、页码、名称统一、序号等非实质性的格式、形式问题及个别遗漏或瑕疵的签署或盖章问题而限制和影响供应商响应）。</w:t>
            </w:r>
          </w:p>
        </w:tc>
        <w:tc>
          <w:tcPr>
            <w:tcW w:type="dxa" w:w="1661"/>
          </w:tcPr>
          <w:p>
            <w:pPr>
              <w:pStyle w:val="null3"/>
            </w:pPr>
            <w:r>
              <w:rPr>
                <w:rFonts w:ascii="仿宋_GB2312" w:hAnsi="仿宋_GB2312" w:cs="仿宋_GB2312" w:eastAsia="仿宋_GB2312"/>
              </w:rPr>
              <w:t>响应文件封面 服务内容及服务要求应答表 响应函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响应函 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响应文件封面 响应函 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对采购文件的响应程度</w:t>
            </w:r>
          </w:p>
        </w:tc>
        <w:tc>
          <w:tcPr>
            <w:tcW w:type="dxa" w:w="3322"/>
          </w:tcPr>
          <w:p>
            <w:pPr>
              <w:pStyle w:val="null3"/>
            </w:pPr>
            <w:r>
              <w:rPr>
                <w:rFonts w:ascii="仿宋_GB2312" w:hAnsi="仿宋_GB2312" w:cs="仿宋_GB2312" w:eastAsia="仿宋_GB2312"/>
              </w:rPr>
              <w:t>响应文件内容齐全、无遗漏，符合采购文件中的实质性条款要求，且未含有采购人不能接受的附加条件。</w:t>
            </w:r>
          </w:p>
        </w:tc>
        <w:tc>
          <w:tcPr>
            <w:tcW w:type="dxa" w:w="1661"/>
          </w:tcPr>
          <w:p>
            <w:pPr>
              <w:pStyle w:val="null3"/>
            </w:pPr>
            <w:r>
              <w:rPr>
                <w:rFonts w:ascii="仿宋_GB2312" w:hAnsi="仿宋_GB2312" w:cs="仿宋_GB2312" w:eastAsia="仿宋_GB2312"/>
              </w:rPr>
              <w:t>响应文件封面 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响应文件封面 响应函 其他附件.docx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区间分值：0-15分 评审标准细化内容： 根据对项目理解情况，提供拟投入本项目的人员配备方案，内容包括不限于①组织架构；②人员执业资格、从业经验；③人员保障措施及人员岗位职责等。 评审标准量化内容： 前述要求的内容均有描述且符合本项目要求的得15分；每缺少一个内容扣5分，扣完为止；每有一项要求的内容有一处错误的(错误是指：对同一问题前后表述矛盾的，或逻辑错误的，或缺少关键节点，或涉及的规范及标准错误，或表述内容不完整，或不利于项目实施、不可能实现的情形等任意一种情形)，一处扣0.5分，扣完为止；每有一项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计划进度安排</w:t>
            </w:r>
          </w:p>
        </w:tc>
        <w:tc>
          <w:tcPr>
            <w:tcW w:type="dxa" w:w="2492"/>
          </w:tcPr>
          <w:p>
            <w:pPr>
              <w:pStyle w:val="null3"/>
            </w:pPr>
            <w:r>
              <w:rPr>
                <w:rFonts w:ascii="仿宋_GB2312" w:hAnsi="仿宋_GB2312" w:cs="仿宋_GB2312" w:eastAsia="仿宋_GB2312"/>
              </w:rPr>
              <w:t>区间分值：0-10分 评审标准细化内容： 根据对项目理解情况，提供相关方案，具体内容如下：①工作计划；②进度保障。 评审标准量化内容： 前述要求的内容均有描述且符合本项目要求的得10分；每缺少一个内容扣5分，扣完为止；每有一项要求的内容有一处错误的(错误是指：对同一问题前后表述矛盾的，或逻辑错误的，或缺少关键节点，或涉及的规范及标准错误，或表述内容不完整，或不利于项目实施、不可能实现的情形等任意一种情形)，一处扣0.5分，扣完为止；每有一项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宣传服务方案</w:t>
            </w:r>
          </w:p>
        </w:tc>
        <w:tc>
          <w:tcPr>
            <w:tcW w:type="dxa" w:w="2492"/>
          </w:tcPr>
          <w:p>
            <w:pPr>
              <w:pStyle w:val="null3"/>
            </w:pPr>
            <w:r>
              <w:rPr>
                <w:rFonts w:ascii="仿宋_GB2312" w:hAnsi="仿宋_GB2312" w:cs="仿宋_GB2312" w:eastAsia="仿宋_GB2312"/>
              </w:rPr>
              <w:t>区间分值：0-20分 评审标准细化内容： 根据对项目理解情况，提供服务方案，内容包括但不限于：①宣传活动策划方案；②视频拍摄流程；③视屏拍摄关键环节把握；④视频内容亮点等方案内容。 评审标准量化内容： 前述要求的内容均有描述且符合本项目要求的得20分；每缺少一个内容扣5分，扣完为止；每有一项要求的内容有一处错误的(错误是指：对同一问题前后表述矛盾的，或逻辑错误的，或缺少关键节点，或涉及的规范及标准错误，或表述内容不完整，或不利于项目实施、不可能实现的情形等任意一种情形)，一处扣0.5分，扣完为止；每有一项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重点、难点</w:t>
            </w:r>
          </w:p>
        </w:tc>
        <w:tc>
          <w:tcPr>
            <w:tcW w:type="dxa" w:w="2492"/>
          </w:tcPr>
          <w:p>
            <w:pPr>
              <w:pStyle w:val="null3"/>
            </w:pPr>
            <w:r>
              <w:rPr>
                <w:rFonts w:ascii="仿宋_GB2312" w:hAnsi="仿宋_GB2312" w:cs="仿宋_GB2312" w:eastAsia="仿宋_GB2312"/>
              </w:rPr>
              <w:t>区间分值：0-10分 评审标准细化内容： 根据对项目理解情况，提供相关方案，具体内容如下：①重点难点分析；②问题解决对策的响应程度。 评审标准量化内容： 前述要求的内容均有描述且符合本项目要求的得10分；每缺少一个内容扣5分，扣完为止；每有一项要求的内容有一处错误的(错误是指：对同一问题前后表述矛盾的，或逻辑错误的，或缺少关键节点，或涉及的规范及标准错误，或表述内容不完整，或不利于项目实施、不可能实现的情形等任意一种情形)，一处扣0.5分，扣完为止；每有一项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区间分值：0-15分 评审标准细化内容： 根据对项目理解情况，提供相关方案，具体内容如下：①服务质量承诺；②服务进度承诺③服务内容承诺。 评审标准： 1、完整性：方案须全面，对评审内容中的各项要求有详细描述及说明； 2、可实施性：切合本项目实际情况，实施步骤清晰、合理； 3、针对性：方案能够紧扣项目实际情况，内容科学合理； 4、合规性：方案内容符合国家法律法规、行业规范及本项目招标文件、合同相关要求，无违规、不符条款。 5、经济性：方案统筹成本、资源投入，预算、资源配置合理，性价比优，兼顾投入与效益。 评审量化内容： ①服务质量承诺：每完全满足一个评审标准得1分，满分5分； ②服务进度承诺：每完全满足一个评审标准得1分，满分5分； ③服务内容承诺：每完全满足一个评审标准得1分，满分5分。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供应商具有2023年1月1日至今类似项目业绩，业绩以合同扫描件（复印件）为依据；每提供1个得5分，共计15分。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 财库〔2020〕46号文件的规定，采用低价优先法计算，以本次满足磋商文件要求的最终最低评审价为磋商基准价，其磋商报价为满分。其他供应商的价格分，统一按照下列公式计算：磋商评审价=磋商最后报价×（1-磋商报价扣除幅度 ）， 磋商报价得分=(磋商基准价／磋商评审价)×15； （最低报价不是中标(成交)的唯一依据。因落实政府采购政策进行价格调整的，以调整后的价格计算评标基准价和响应报价。）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其他附件.docx</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