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4622E">
      <w:pPr>
        <w:pStyle w:val="8"/>
        <w:jc w:val="center"/>
        <w:outlineLvl w:val="1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b/>
          <w:sz w:val="36"/>
          <w:highlight w:val="none"/>
        </w:rPr>
        <w:t>第八章 拟签订采购合同文本</w:t>
      </w:r>
    </w:p>
    <w:p w14:paraId="244A01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center"/>
        <w:textAlignment w:val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2026年西安市福利彩票发行中心宣传视频制作播放项目</w:t>
      </w:r>
    </w:p>
    <w:p w14:paraId="51ED3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2" w:firstLineChars="200"/>
        <w:jc w:val="left"/>
        <w:textAlignment w:val="auto"/>
        <w:rPr>
          <w:rFonts w:hint="eastAsia" w:ascii="宋体" w:hAnsi="宋体" w:eastAsia="宋体" w:cs="宋体"/>
          <w:b/>
          <w:sz w:val="21"/>
          <w:szCs w:val="21"/>
          <w:highlight w:val="none"/>
        </w:rPr>
      </w:pPr>
    </w:p>
    <w:p w14:paraId="294BD5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highlight w:val="none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highlight w:val="none"/>
          <w:shd w:val="clear" w:fill="FFFFFF"/>
          <w:lang w:val="en-US" w:eastAsia="zh-CN"/>
        </w:rPr>
        <w:t xml:space="preserve"> </w:t>
      </w:r>
    </w:p>
    <w:p w14:paraId="6E7B77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highlight w:val="none"/>
          <w:shd w:val="clear" w:fill="FFFFFF"/>
        </w:rPr>
      </w:pPr>
      <w:bookmarkStart w:id="20" w:name="_GoBack"/>
      <w:bookmarkEnd w:id="20"/>
    </w:p>
    <w:p w14:paraId="0BBACEC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highlight w:val="none"/>
          <w:shd w:val="clear" w:fill="FFFFFF"/>
        </w:rPr>
      </w:pPr>
    </w:p>
    <w:p w14:paraId="76817CF7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highlight w:val="none"/>
          <w:shd w:val="clear" w:fill="FFFFFF"/>
        </w:rPr>
      </w:pPr>
    </w:p>
    <w:p w14:paraId="5D72AC7C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0B53059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highlight w:val="none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highlight w:val="none"/>
          <w:shd w:val="clear" w:fill="FFFFFF"/>
        </w:rPr>
        <w:t>采购合同</w:t>
      </w:r>
    </w:p>
    <w:p w14:paraId="33E47433">
      <w:pPr>
        <w:rPr>
          <w:rFonts w:hint="eastAsia" w:ascii="宋体" w:hAnsi="宋体" w:eastAsia="宋体" w:cs="宋体"/>
          <w:b/>
          <w:bCs/>
          <w:i w:val="0"/>
          <w:iCs w:val="0"/>
          <w:caps w:val="0"/>
          <w:color w:val="auto"/>
          <w:spacing w:val="0"/>
          <w:sz w:val="39"/>
          <w:szCs w:val="39"/>
          <w:highlight w:val="none"/>
          <w:shd w:val="clear" w:fill="FFFFFF"/>
        </w:rPr>
      </w:pPr>
    </w:p>
    <w:p w14:paraId="33E7A25F">
      <w:pPr>
        <w:pStyle w:val="4"/>
        <w:rPr>
          <w:rFonts w:hint="eastAsia" w:ascii="宋体" w:hAnsi="宋体" w:eastAsia="宋体" w:cs="宋体"/>
          <w:color w:val="auto"/>
          <w:highlight w:val="none"/>
          <w:shd w:val="clear" w:color="auto" w:fill="FFFFFF"/>
        </w:rPr>
      </w:pPr>
      <w:bookmarkStart w:id="0" w:name="_Toc26511"/>
      <w:bookmarkStart w:id="1" w:name="_Toc16574"/>
      <w:bookmarkStart w:id="2" w:name="_Toc1270"/>
      <w:bookmarkStart w:id="3" w:name="_Toc32759"/>
    </w:p>
    <w:p w14:paraId="5BFE981A">
      <w:pPr>
        <w:pStyle w:val="3"/>
        <w:rPr>
          <w:rFonts w:hint="eastAsia" w:ascii="宋体" w:hAnsi="宋体" w:eastAsia="宋体" w:cs="宋体"/>
          <w:color w:val="auto"/>
          <w:highlight w:val="none"/>
        </w:rPr>
      </w:pPr>
    </w:p>
    <w:p w14:paraId="764B421B">
      <w:pPr>
        <w:adjustRightInd w:val="0"/>
        <w:snapToGrid w:val="0"/>
        <w:rPr>
          <w:rFonts w:hint="eastAsia" w:ascii="宋体" w:hAnsi="宋体" w:eastAsia="宋体" w:cs="宋体"/>
          <w:color w:val="auto"/>
          <w:highlight w:val="none"/>
        </w:rPr>
      </w:pPr>
    </w:p>
    <w:bookmarkEnd w:id="0"/>
    <w:bookmarkEnd w:id="1"/>
    <w:bookmarkEnd w:id="2"/>
    <w:bookmarkEnd w:id="3"/>
    <w:p w14:paraId="5D83560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</w:pPr>
      <w:bookmarkStart w:id="4" w:name="_Toc19183"/>
      <w:bookmarkStart w:id="5" w:name="_Toc11546"/>
      <w:bookmarkStart w:id="6" w:name="_Toc7639"/>
      <w:bookmarkStart w:id="7" w:name="_Toc17160"/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  <w:t xml:space="preserve">                                                 </w:t>
      </w:r>
      <w:bookmarkEnd w:id="4"/>
      <w:bookmarkEnd w:id="5"/>
      <w:bookmarkEnd w:id="6"/>
      <w:bookmarkEnd w:id="7"/>
    </w:p>
    <w:p w14:paraId="02371BD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</w:pPr>
      <w:bookmarkStart w:id="8" w:name="_Toc32754"/>
      <w:bookmarkStart w:id="9" w:name="_Toc11161"/>
      <w:bookmarkStart w:id="10" w:name="_Toc17504"/>
      <w:bookmarkStart w:id="11" w:name="_Toc1819"/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  <w:t>合同编号：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u w:val="single"/>
          <w:lang w:val="en-US" w:eastAsia="zh-CN" w:bidi="ar"/>
        </w:rPr>
        <w:t xml:space="preserve">                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  <w:t xml:space="preserve">                                     </w:t>
      </w:r>
      <w:bookmarkEnd w:id="8"/>
      <w:bookmarkEnd w:id="9"/>
      <w:bookmarkEnd w:id="10"/>
      <w:bookmarkEnd w:id="11"/>
    </w:p>
    <w:p w14:paraId="6B3766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</w:pPr>
      <w:bookmarkStart w:id="12" w:name="_Toc6711"/>
      <w:bookmarkStart w:id="13" w:name="_Toc20225"/>
      <w:bookmarkStart w:id="14" w:name="_Toc19116"/>
      <w:bookmarkStart w:id="15" w:name="_Toc4231"/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  <w:t xml:space="preserve">采购人（以下简称甲方）：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u w:val="single"/>
          <w:lang w:val="en-US" w:eastAsia="zh-CN" w:bidi="ar"/>
        </w:rPr>
        <w:t>西安市福利彩票发行中心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  <w:t xml:space="preserve">                                       </w:t>
      </w:r>
      <w:bookmarkEnd w:id="12"/>
      <w:bookmarkEnd w:id="13"/>
      <w:bookmarkEnd w:id="14"/>
      <w:bookmarkEnd w:id="15"/>
    </w:p>
    <w:p w14:paraId="4D15C94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textAlignment w:val="auto"/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</w:pPr>
      <w:bookmarkStart w:id="16" w:name="_Toc7818"/>
      <w:bookmarkStart w:id="17" w:name="_Toc20190"/>
      <w:bookmarkStart w:id="18" w:name="_Toc4068"/>
      <w:bookmarkStart w:id="19" w:name="_Toc17899"/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  <w:t>供应商（以下简称乙方）：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u w:val="single"/>
          <w:lang w:val="en-US" w:eastAsia="zh-CN" w:bidi="ar"/>
        </w:rPr>
        <w:t xml:space="preserve">   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  <w:t xml:space="preserve">                   </w:t>
      </w:r>
      <w:bookmarkEnd w:id="16"/>
      <w:bookmarkEnd w:id="17"/>
      <w:bookmarkEnd w:id="18"/>
      <w:bookmarkEnd w:id="19"/>
    </w:p>
    <w:p w14:paraId="6D4C3CF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800" w:lineRule="exact"/>
        <w:textAlignment w:val="auto"/>
        <w:rPr>
          <w:rFonts w:hint="eastAsia" w:ascii="仿宋" w:hAnsi="仿宋" w:eastAsia="仿宋" w:cs="Times New Roman"/>
          <w:b/>
          <w:color w:val="auto"/>
          <w:kern w:val="0"/>
          <w:sz w:val="28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  <w:t>签订日期：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u w:val="single"/>
          <w:lang w:val="en-US" w:eastAsia="zh-CN" w:bidi="ar"/>
        </w:rPr>
        <w:t xml:space="preserve">                      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4"/>
          <w:highlight w:val="none"/>
          <w:lang w:val="en-US" w:eastAsia="zh-CN" w:bidi="ar"/>
        </w:rPr>
        <w:t xml:space="preserve">      </w:t>
      </w:r>
      <w:r>
        <w:rPr>
          <w:rFonts w:hint="eastAsia" w:ascii="仿宋" w:hAnsi="仿宋" w:eastAsia="仿宋" w:cs="Times New Roman"/>
          <w:b/>
          <w:color w:val="auto"/>
          <w:kern w:val="0"/>
          <w:sz w:val="28"/>
          <w:szCs w:val="24"/>
          <w:highlight w:val="none"/>
          <w:lang w:val="en-US" w:eastAsia="zh-CN" w:bidi="ar"/>
        </w:rPr>
        <w:t xml:space="preserve">      </w:t>
      </w:r>
    </w:p>
    <w:p w14:paraId="3A453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70" w:firstLineChars="196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t xml:space="preserve"> </w:t>
      </w:r>
    </w:p>
    <w:p w14:paraId="53B0AFAE">
      <w:pP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eastAsia="zh-CN"/>
        </w:rPr>
        <w:br w:type="page"/>
      </w:r>
    </w:p>
    <w:p w14:paraId="615AC665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</w:p>
    <w:p w14:paraId="0299C23E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甲方：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  <w:t>西安市福利彩票发行中心</w:t>
      </w:r>
    </w:p>
    <w:p w14:paraId="37CB5F4A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统一社会信用代码：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12610100H16254850X</w:t>
      </w:r>
    </w:p>
    <w:p w14:paraId="0BF81097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法定代表人：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  <w:t>赵琛</w:t>
      </w:r>
    </w:p>
    <w:p w14:paraId="690D0AC5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联系方式：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029-86276319</w:t>
      </w:r>
    </w:p>
    <w:p w14:paraId="023AA066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highlight w:val="none"/>
          <w:lang w:val="en-US" w:eastAsia="zh-CN"/>
        </w:rPr>
        <w:t>通讯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地址：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  <w:t>西安市未央区北二环中段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  <w:t>369号华帝金座8楼</w:t>
      </w:r>
    </w:p>
    <w:p w14:paraId="29AA80B0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eastAsia="zh-CN"/>
        </w:rPr>
      </w:pPr>
    </w:p>
    <w:p w14:paraId="4C82E773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乙方：</w:t>
      </w:r>
    </w:p>
    <w:p w14:paraId="545294C9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统一社会信用代码：</w:t>
      </w:r>
    </w:p>
    <w:p w14:paraId="016C51B4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法定代表人：</w:t>
      </w:r>
    </w:p>
    <w:p w14:paraId="54DBF083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联系方式：</w:t>
      </w:r>
    </w:p>
    <w:p w14:paraId="1E0A743D">
      <w:pPr>
        <w:spacing w:line="360" w:lineRule="auto"/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highlight w:val="none"/>
          <w:lang w:val="en-US" w:eastAsia="zh-CN"/>
        </w:rPr>
        <w:t>通讯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highlight w:val="none"/>
        </w:rPr>
        <w:t>地址：</w:t>
      </w:r>
    </w:p>
    <w:p w14:paraId="5BF97833">
      <w:pPr>
        <w:spacing w:line="500" w:lineRule="exact"/>
        <w:ind w:firstLine="482" w:firstLineChars="200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highlight w:val="none"/>
        </w:rPr>
        <w:t>（以下简称甲方）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highlight w:val="none"/>
        </w:rPr>
        <w:t>采购，由</w:t>
      </w:r>
      <w:r>
        <w:rPr>
          <w:rFonts w:hint="eastAsia" w:ascii="宋体" w:hAnsi="宋体"/>
          <w:color w:val="000000"/>
          <w:sz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  <w:sz w:val="24"/>
          <w:highlight w:val="none"/>
        </w:rPr>
        <w:t>组织采购，选定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000000"/>
          <w:sz w:val="24"/>
          <w:highlight w:val="none"/>
        </w:rPr>
        <w:t xml:space="preserve"> (以下简称乙方）为该项目中标单位。依据《中华人民共和国民法</w:t>
      </w:r>
      <w:r>
        <w:rPr>
          <w:rFonts w:ascii="宋体" w:hAnsi="宋体"/>
          <w:color w:val="000000"/>
          <w:sz w:val="24"/>
          <w:highlight w:val="none"/>
        </w:rPr>
        <w:t>典</w:t>
      </w:r>
      <w:r>
        <w:rPr>
          <w:rFonts w:hint="eastAsia" w:ascii="宋体" w:hAnsi="宋体"/>
          <w:color w:val="000000"/>
          <w:sz w:val="24"/>
          <w:highlight w:val="none"/>
        </w:rPr>
        <w:t>》和《中华人民共和国政府采购法》，经甲、乙双方共同协商，按下述条款和条件签署本合同。</w:t>
      </w:r>
    </w:p>
    <w:p w14:paraId="0C85202F">
      <w:pPr>
        <w:spacing w:line="500" w:lineRule="exact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一、合同内容</w:t>
      </w:r>
    </w:p>
    <w:p w14:paraId="6A3074E0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乙方负责按照合同确定的项目名称、服务内容、服务标准组织服务，确保各项服务达到要求，保证甲方工作能够正常进行。</w:t>
      </w:r>
    </w:p>
    <w:p w14:paraId="6000B25B">
      <w:pPr>
        <w:spacing w:line="500" w:lineRule="exact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二、合同价格</w:t>
      </w:r>
    </w:p>
    <w:p w14:paraId="15C72600">
      <w:pPr>
        <w:spacing w:line="500" w:lineRule="exact"/>
        <w:ind w:left="420" w:left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合同总价：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人民币       元整（¥         元） </w:t>
      </w:r>
    </w:p>
    <w:p w14:paraId="140998C8">
      <w:pPr>
        <w:spacing w:line="500" w:lineRule="exact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说明：</w:t>
      </w:r>
    </w:p>
    <w:p w14:paraId="4F36EEC5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Style w:val="9"/>
          <w:color w:val="000000"/>
          <w:sz w:val="24"/>
          <w:highlight w:val="none"/>
        </w:rPr>
        <w:t>合同总价包含项目报价、其他费用及应缴纳的全部税款等费用。</w:t>
      </w:r>
    </w:p>
    <w:p w14:paraId="0972EBAA">
      <w:pPr>
        <w:numPr>
          <w:ilvl w:val="0"/>
          <w:numId w:val="1"/>
        </w:num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合同总价一次包死，不受市场价格变化的影响，并作为结算的唯一依据。</w:t>
      </w:r>
    </w:p>
    <w:p w14:paraId="18C7820C">
      <w:pPr>
        <w:spacing w:line="500" w:lineRule="exact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三、合同款项支付</w:t>
      </w:r>
    </w:p>
    <w:p w14:paraId="38D4BD0F">
      <w:pPr>
        <w:tabs>
          <w:tab w:val="left" w:pos="840"/>
        </w:tabs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（一）结算单位：采购人结算，在付款前，必须开具等额发票给采购人。</w:t>
      </w:r>
    </w:p>
    <w:p w14:paraId="5465B2DA">
      <w:pPr>
        <w:tabs>
          <w:tab w:val="left" w:pos="840"/>
        </w:tabs>
        <w:spacing w:line="500" w:lineRule="exact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（二）付款方式：</w:t>
      </w:r>
    </w:p>
    <w:p w14:paraId="6CD2C15A">
      <w:pPr>
        <w:widowControl w:val="0"/>
        <w:tabs>
          <w:tab w:val="left" w:pos="840"/>
        </w:tabs>
        <w:spacing w:line="500" w:lineRule="exact"/>
        <w:ind w:firstLine="480" w:firstLineChars="200"/>
        <w:jc w:val="both"/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theme="minorBidi"/>
          <w:kern w:val="2"/>
          <w:sz w:val="24"/>
          <w:szCs w:val="24"/>
          <w:highlight w:val="none"/>
          <w:lang w:val="en-US" w:eastAsia="zh-CN" w:bidi="ar-SA"/>
        </w:rPr>
        <w:t>1、</w:t>
      </w:r>
      <w:r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  <w:t xml:space="preserve">付款条件说明： </w:t>
      </w:r>
      <w:r>
        <w:rPr>
          <w:rFonts w:hint="eastAsia" w:ascii="宋体" w:hAnsi="宋体" w:cstheme="minorBidi"/>
          <w:kern w:val="2"/>
          <w:sz w:val="24"/>
          <w:szCs w:val="24"/>
          <w:highlight w:val="none"/>
          <w:lang w:val="en-US" w:eastAsia="zh-CN" w:bidi="ar-SA"/>
        </w:rPr>
        <w:t>验收交付完成，</w:t>
      </w:r>
      <w:r>
        <w:rPr>
          <w:rFonts w:hint="eastAsia" w:ascii="宋体" w:hAnsi="宋体" w:eastAsiaTheme="minorEastAsia" w:cstheme="minorBidi"/>
          <w:kern w:val="2"/>
          <w:sz w:val="24"/>
          <w:szCs w:val="24"/>
          <w:highlight w:val="none"/>
          <w:lang w:val="en-US" w:eastAsia="zh-CN" w:bidi="ar-SA"/>
        </w:rPr>
        <w:t>达到付款条件起 10 日内，支付合同总金额的 100.00%。</w:t>
      </w:r>
    </w:p>
    <w:p w14:paraId="504154DC">
      <w:pPr>
        <w:spacing w:line="500" w:lineRule="exact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四、服务条件</w:t>
      </w:r>
    </w:p>
    <w:p w14:paraId="1F38C0CE">
      <w:pPr>
        <w:spacing w:line="500" w:lineRule="exact"/>
        <w:ind w:firstLine="480" w:firstLineChars="200"/>
        <w:jc w:val="left"/>
        <w:rPr>
          <w:rFonts w:hint="eastAsia" w:ascii="宋体" w:hAnsi="宋体"/>
          <w:bCs/>
          <w:sz w:val="24"/>
          <w:highlight w:val="none"/>
          <w:lang w:val="zh-CN" w:eastAsia="zh-CN"/>
        </w:rPr>
      </w:pPr>
      <w:r>
        <w:rPr>
          <w:rFonts w:hint="eastAsia" w:ascii="宋体" w:hAnsi="宋体"/>
          <w:bCs/>
          <w:sz w:val="24"/>
          <w:highlight w:val="none"/>
          <w:lang w:val="zh-CN" w:eastAsia="zh-CN"/>
        </w:rPr>
        <w:t>（一）服务期限：</w:t>
      </w:r>
      <w:r>
        <w:rPr>
          <w:rFonts w:hint="default" w:ascii="宋体" w:hAnsi="宋体"/>
          <w:bCs/>
          <w:sz w:val="24"/>
          <w:highlight w:val="none"/>
          <w:lang w:val="en-US" w:eastAsia="zh-CN"/>
        </w:rPr>
        <w:t>签订合同后3个月内完成宣传片制作、播发工作。</w:t>
      </w:r>
    </w:p>
    <w:p w14:paraId="369B147D">
      <w:pPr>
        <w:spacing w:line="500" w:lineRule="exact"/>
        <w:ind w:firstLine="480" w:firstLineChars="200"/>
        <w:jc w:val="left"/>
        <w:rPr>
          <w:rFonts w:hint="eastAsia" w:ascii="宋体" w:hAnsi="宋体"/>
          <w:bCs/>
          <w:sz w:val="24"/>
          <w:highlight w:val="none"/>
          <w:lang w:val="zh-CN"/>
        </w:rPr>
      </w:pPr>
      <w:r>
        <w:rPr>
          <w:rFonts w:hint="eastAsia" w:ascii="宋体" w:hAnsi="宋体"/>
          <w:bCs/>
          <w:sz w:val="24"/>
          <w:highlight w:val="none"/>
        </w:rPr>
        <w:t>（二）服务</w:t>
      </w:r>
      <w:r>
        <w:rPr>
          <w:rFonts w:hint="eastAsia" w:ascii="宋体" w:hAnsi="宋体"/>
          <w:bCs/>
          <w:sz w:val="24"/>
          <w:highlight w:val="none"/>
          <w:lang w:val="zh-CN"/>
        </w:rPr>
        <w:t>地点：</w:t>
      </w:r>
      <w:r>
        <w:rPr>
          <w:rFonts w:hint="eastAsia" w:ascii="宋体" w:hAnsi="宋体"/>
          <w:bCs/>
          <w:sz w:val="24"/>
          <w:highlight w:val="none"/>
          <w:lang w:val="zh-CN" w:eastAsia="zh-CN"/>
        </w:rPr>
        <w:t>西安市福利彩票发行中心</w:t>
      </w:r>
      <w:r>
        <w:rPr>
          <w:rFonts w:hint="eastAsia" w:ascii="宋体" w:hAnsi="宋体"/>
          <w:bCs/>
          <w:sz w:val="24"/>
          <w:highlight w:val="none"/>
          <w:lang w:val="zh-CN"/>
        </w:rPr>
        <w:t>指定地点。</w:t>
      </w:r>
    </w:p>
    <w:p w14:paraId="49F59707">
      <w:pPr>
        <w:spacing w:line="500" w:lineRule="exact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五、质量保证</w:t>
      </w:r>
    </w:p>
    <w:p w14:paraId="6DAFB983">
      <w:pPr>
        <w:tabs>
          <w:tab w:val="left" w:pos="426"/>
          <w:tab w:val="left" w:pos="709"/>
        </w:tabs>
        <w:spacing w:line="500" w:lineRule="exact"/>
        <w:ind w:firstLine="566" w:firstLineChars="236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（一）乙方应当保证服务内容质量完全符合合同规定的要求，并对服务内容质量问题负责。</w:t>
      </w:r>
    </w:p>
    <w:p w14:paraId="096CCBDB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2DD54E60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（三）知识产权：</w:t>
      </w:r>
      <w:r>
        <w:rPr>
          <w:rFonts w:ascii="宋体" w:hAnsi="宋体" w:eastAsia="宋体" w:cs="宋体"/>
          <w:sz w:val="24"/>
          <w:szCs w:val="24"/>
          <w:highlight w:val="none"/>
        </w:rPr>
        <w:t>知识产权归甲方（采购人）所有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/>
          <w:color w:val="000000"/>
          <w:sz w:val="24"/>
          <w:highlight w:val="none"/>
        </w:rPr>
        <w:t>中标单位应保证采购人在使用项目成果时，不承担任何涉及知识产权法律诉讼的责任。</w:t>
      </w:r>
    </w:p>
    <w:p w14:paraId="6B2C8D18">
      <w:pPr>
        <w:spacing w:line="500" w:lineRule="exact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六、技术服务</w:t>
      </w:r>
    </w:p>
    <w:p w14:paraId="272DB1DB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（一）技术资料</w:t>
      </w:r>
    </w:p>
    <w:p w14:paraId="1F0CD3D6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（二）服务承诺</w:t>
      </w:r>
    </w:p>
    <w:p w14:paraId="4A2771D6">
      <w:pPr>
        <w:spacing w:line="500" w:lineRule="exact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七、违约责任</w:t>
      </w:r>
    </w:p>
    <w:p w14:paraId="66470850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（一）按《中华人民共和国民法典》中的相关条款执行。</w:t>
      </w:r>
    </w:p>
    <w:p w14:paraId="4E16E2A4">
      <w:pPr>
        <w:spacing w:line="500" w:lineRule="exact"/>
        <w:ind w:firstLine="480" w:firstLineChars="200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（二）未按合同要求的提供服务或服务质量不能满足采购人要求，甲方有权终止合同，甚至对供方违约行为进行追究。</w:t>
      </w:r>
    </w:p>
    <w:p w14:paraId="5F0197E6">
      <w:pPr>
        <w:spacing w:line="500" w:lineRule="exact"/>
        <w:ind w:firstLine="480" w:firstLineChars="200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（三）如有纠纷，双方友好协商解决，协商不成时可诉讼到甲方所在地人民法院解决。</w:t>
      </w:r>
    </w:p>
    <w:p w14:paraId="5B2D4917">
      <w:pPr>
        <w:spacing w:line="500" w:lineRule="exact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八、验收</w:t>
      </w:r>
    </w:p>
    <w:p w14:paraId="7359DED4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由采购人负责组织验收或者邀请有关专家、质检机构、采购代理机构共同进行验收,验收费用由中标单位支付；验收合格须交接项目实施的全部资料。验收须以合同、招标文件、投标文件、澄清、及国家相应的标准、规范等为依据。</w:t>
      </w:r>
    </w:p>
    <w:p w14:paraId="59C6654C">
      <w:pPr>
        <w:spacing w:line="500" w:lineRule="exact"/>
        <w:ind w:firstLine="482"/>
        <w:jc w:val="left"/>
        <w:rPr>
          <w:rFonts w:hint="eastAsia" w:ascii="宋体" w:hAnsi="宋体"/>
          <w:b/>
          <w:color w:val="000000"/>
          <w:sz w:val="24"/>
          <w:highlight w:val="none"/>
        </w:rPr>
      </w:pPr>
      <w:r>
        <w:rPr>
          <w:rFonts w:hint="eastAsia" w:ascii="宋体" w:hAnsi="宋体"/>
          <w:b/>
          <w:color w:val="000000"/>
          <w:sz w:val="24"/>
          <w:highlight w:val="none"/>
        </w:rPr>
        <w:t>九、其他事项</w:t>
      </w:r>
    </w:p>
    <w:p w14:paraId="2B28FF3C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（一）</w:t>
      </w:r>
      <w:r>
        <w:rPr>
          <w:rFonts w:hint="eastAsia" w:ascii="宋体" w:hAnsi="宋体"/>
          <w:color w:val="000000"/>
          <w:sz w:val="24"/>
          <w:highlight w:val="none"/>
          <w:u w:val="single"/>
        </w:rPr>
        <w:t xml:space="preserve"> </w:t>
      </w:r>
      <w:r>
        <w:rPr>
          <w:rFonts w:ascii="宋体" w:hAnsi="宋体"/>
          <w:color w:val="000000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highlight w:val="none"/>
        </w:rPr>
        <w:t>在合同的履行期间以及履行期后，可以随时检查项目的执行情况，对服务标准、服务内容进行调查核实，并对发现的问题进行处理。</w:t>
      </w:r>
    </w:p>
    <w:p w14:paraId="5ED4667B">
      <w:pPr>
        <w:spacing w:line="500" w:lineRule="exact"/>
        <w:ind w:left="105" w:leftChars="50" w:firstLine="360" w:firstLineChars="15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（二）本合同一式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陆</w:t>
      </w:r>
      <w:r>
        <w:rPr>
          <w:rFonts w:hint="eastAsia" w:ascii="宋体" w:hAnsi="宋体"/>
          <w:color w:val="000000"/>
          <w:sz w:val="24"/>
          <w:highlight w:val="none"/>
        </w:rPr>
        <w:t>份，甲方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肆</w:t>
      </w:r>
      <w:r>
        <w:rPr>
          <w:rFonts w:hint="eastAsia" w:ascii="宋体" w:hAnsi="宋体"/>
          <w:color w:val="000000"/>
          <w:sz w:val="24"/>
          <w:highlight w:val="none"/>
        </w:rPr>
        <w:t>份，乙方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壹</w:t>
      </w:r>
      <w:r>
        <w:rPr>
          <w:rFonts w:hint="eastAsia" w:ascii="宋体" w:hAnsi="宋体"/>
          <w:color w:val="000000"/>
          <w:sz w:val="24"/>
          <w:highlight w:val="none"/>
        </w:rPr>
        <w:t>份，采购代理机构</w:t>
      </w:r>
      <w:r>
        <w:rPr>
          <w:rFonts w:hint="eastAsia" w:ascii="宋体" w:hAnsi="宋体"/>
          <w:color w:val="000000"/>
          <w:sz w:val="24"/>
          <w:highlight w:val="none"/>
          <w:lang w:val="en-US" w:eastAsia="zh-CN"/>
        </w:rPr>
        <w:t>壹</w:t>
      </w:r>
      <w:r>
        <w:rPr>
          <w:rFonts w:hint="eastAsia" w:ascii="宋体" w:hAnsi="宋体"/>
          <w:color w:val="000000"/>
          <w:sz w:val="24"/>
          <w:highlight w:val="none"/>
        </w:rPr>
        <w:t>份，甲乙双方签字盖章后生效。</w:t>
      </w:r>
    </w:p>
    <w:p w14:paraId="156C53AE">
      <w:pPr>
        <w:spacing w:line="500" w:lineRule="exact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（三）招标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文件、投标文件也是合同的组成部分，合同中未约定的以</w:t>
      </w:r>
      <w:r>
        <w:rPr>
          <w:rFonts w:hint="eastAsia" w:ascii="宋体" w:hAnsi="宋体"/>
          <w:color w:val="000000"/>
          <w:sz w:val="24"/>
          <w:highlight w:val="none"/>
        </w:rPr>
        <w:t>招标</w:t>
      </w:r>
      <w:r>
        <w:rPr>
          <w:rFonts w:hint="eastAsia" w:ascii="宋体" w:hAnsi="宋体"/>
          <w:bCs/>
          <w:color w:val="000000"/>
          <w:sz w:val="24"/>
          <w:highlight w:val="none"/>
        </w:rPr>
        <w:t>文件、投标文件为准。</w:t>
      </w:r>
    </w:p>
    <w:p w14:paraId="77D2E943">
      <w:pPr>
        <w:spacing w:line="500" w:lineRule="exact"/>
        <w:ind w:firstLine="600" w:firstLineChars="250"/>
        <w:jc w:val="left"/>
        <w:rPr>
          <w:rFonts w:hint="eastAsia" w:ascii="宋体" w:hAnsi="宋体"/>
          <w:color w:val="000000"/>
          <w:sz w:val="24"/>
          <w:highlight w:val="none"/>
        </w:rPr>
      </w:pPr>
    </w:p>
    <w:p w14:paraId="714BB23D">
      <w:pPr>
        <w:spacing w:line="500" w:lineRule="exact"/>
        <w:ind w:firstLine="600" w:firstLineChars="25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 xml:space="preserve">合同签订地点：   </w:t>
      </w:r>
    </w:p>
    <w:p w14:paraId="0001B497">
      <w:pPr>
        <w:spacing w:line="500" w:lineRule="exact"/>
        <w:ind w:firstLine="600" w:firstLineChars="25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ascii="宋体" w:hAnsi="宋体"/>
          <w:color w:val="000000"/>
          <w:sz w:val="24"/>
          <w:highlight w:val="none"/>
        </w:rPr>
        <w:t>合同签订时间：    年   月    日</w:t>
      </w:r>
    </w:p>
    <w:p w14:paraId="5C79C405">
      <w:pPr>
        <w:spacing w:line="500" w:lineRule="exact"/>
        <w:jc w:val="left"/>
        <w:rPr>
          <w:rFonts w:hint="eastAsia" w:ascii="宋体" w:hAnsi="宋体"/>
          <w:color w:val="000000"/>
          <w:sz w:val="24"/>
          <w:highlight w:val="none"/>
        </w:rPr>
      </w:pPr>
    </w:p>
    <w:p w14:paraId="65E246AE">
      <w:pPr>
        <w:spacing w:line="360" w:lineRule="auto"/>
        <w:rPr>
          <w:rFonts w:hint="eastAsia" w:ascii="宋体" w:hAnsi="宋体" w:eastAsia="宋体" w:cs="宋体"/>
          <w:snapToGrid w:val="0"/>
          <w:color w:val="auto"/>
          <w:kern w:val="0"/>
          <w:sz w:val="24"/>
          <w:highlight w:val="none"/>
        </w:rPr>
      </w:pPr>
    </w:p>
    <w:p w14:paraId="2AC56873">
      <w:pPr>
        <w:spacing w:line="360" w:lineRule="auto"/>
        <w:rPr>
          <w:rFonts w:hint="eastAsia" w:ascii="宋体" w:hAnsi="宋体" w:eastAsia="宋体" w:cs="宋体"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highlight w:val="none"/>
        </w:rPr>
        <w:br w:type="page"/>
      </w:r>
    </w:p>
    <w:p w14:paraId="253AC424">
      <w:pPr>
        <w:rPr>
          <w:rFonts w:hint="eastAsia"/>
          <w:color w:val="auto"/>
          <w:highlight w:val="none"/>
        </w:rPr>
      </w:pPr>
    </w:p>
    <w:p w14:paraId="203BCFE9">
      <w:pPr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6"/>
        <w:tblW w:w="7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26"/>
        <w:gridCol w:w="3853"/>
      </w:tblGrid>
      <w:tr w14:paraId="61F90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3326" w:type="dxa"/>
            <w:shd w:val="clear" w:color="auto" w:fill="D8D8D8"/>
            <w:noWrap w:val="0"/>
            <w:vAlign w:val="center"/>
          </w:tcPr>
          <w:p w14:paraId="02E3118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甲  方</w:t>
            </w:r>
          </w:p>
        </w:tc>
        <w:tc>
          <w:tcPr>
            <w:tcW w:w="3853" w:type="dxa"/>
            <w:shd w:val="clear" w:color="auto" w:fill="D8D8D8"/>
            <w:noWrap w:val="0"/>
            <w:vAlign w:val="center"/>
          </w:tcPr>
          <w:p w14:paraId="66F6DE0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8"/>
                <w:szCs w:val="28"/>
                <w:highlight w:val="none"/>
              </w:rPr>
              <w:t>乙  方</w:t>
            </w:r>
          </w:p>
        </w:tc>
      </w:tr>
      <w:tr w14:paraId="075B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3326" w:type="dxa"/>
            <w:noWrap w:val="0"/>
            <w:vAlign w:val="center"/>
          </w:tcPr>
          <w:p w14:paraId="0A0E8A4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采购人</w:t>
            </w:r>
          </w:p>
          <w:p w14:paraId="483F514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（公章）</w:t>
            </w:r>
          </w:p>
        </w:tc>
        <w:tc>
          <w:tcPr>
            <w:tcW w:w="3853" w:type="dxa"/>
            <w:noWrap w:val="0"/>
            <w:vAlign w:val="center"/>
          </w:tcPr>
          <w:p w14:paraId="043F117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成交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：</w:t>
            </w:r>
          </w:p>
          <w:p w14:paraId="56CC0D5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（公章）</w:t>
            </w:r>
          </w:p>
        </w:tc>
      </w:tr>
      <w:tr w14:paraId="2EF98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326" w:type="dxa"/>
            <w:noWrap w:val="0"/>
            <w:vAlign w:val="center"/>
          </w:tcPr>
          <w:p w14:paraId="4B31CC6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地址：</w:t>
            </w:r>
          </w:p>
        </w:tc>
        <w:tc>
          <w:tcPr>
            <w:tcW w:w="3853" w:type="dxa"/>
            <w:noWrap w:val="0"/>
            <w:vAlign w:val="center"/>
          </w:tcPr>
          <w:p w14:paraId="3858DF1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地址：</w:t>
            </w:r>
          </w:p>
        </w:tc>
      </w:tr>
      <w:tr w14:paraId="36B8B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326" w:type="dxa"/>
            <w:noWrap w:val="0"/>
            <w:vAlign w:val="center"/>
          </w:tcPr>
          <w:p w14:paraId="580FBC8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邮编：</w:t>
            </w:r>
          </w:p>
        </w:tc>
        <w:tc>
          <w:tcPr>
            <w:tcW w:w="3853" w:type="dxa"/>
            <w:noWrap w:val="0"/>
            <w:vAlign w:val="center"/>
          </w:tcPr>
          <w:p w14:paraId="4ACEB25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邮编：</w:t>
            </w:r>
          </w:p>
        </w:tc>
      </w:tr>
      <w:tr w14:paraId="01B0E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326" w:type="dxa"/>
            <w:noWrap w:val="0"/>
            <w:vAlign w:val="center"/>
          </w:tcPr>
          <w:p w14:paraId="034CB5A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法定代表人：</w:t>
            </w:r>
          </w:p>
        </w:tc>
        <w:tc>
          <w:tcPr>
            <w:tcW w:w="3853" w:type="dxa"/>
            <w:noWrap w:val="0"/>
            <w:vAlign w:val="center"/>
          </w:tcPr>
          <w:p w14:paraId="5129441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法定代表人：</w:t>
            </w:r>
          </w:p>
        </w:tc>
      </w:tr>
      <w:tr w14:paraId="67F05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326" w:type="dxa"/>
            <w:noWrap w:val="0"/>
            <w:vAlign w:val="center"/>
          </w:tcPr>
          <w:p w14:paraId="30A036B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负责人：（签字）</w:t>
            </w:r>
          </w:p>
        </w:tc>
        <w:tc>
          <w:tcPr>
            <w:tcW w:w="3853" w:type="dxa"/>
            <w:noWrap w:val="0"/>
            <w:vAlign w:val="center"/>
          </w:tcPr>
          <w:p w14:paraId="5057B52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负责人：（签字）</w:t>
            </w:r>
          </w:p>
        </w:tc>
      </w:tr>
      <w:tr w14:paraId="5C123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326" w:type="dxa"/>
            <w:noWrap w:val="0"/>
            <w:vAlign w:val="center"/>
          </w:tcPr>
          <w:p w14:paraId="652CB8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  <w:tc>
          <w:tcPr>
            <w:tcW w:w="3853" w:type="dxa"/>
            <w:noWrap w:val="0"/>
            <w:vAlign w:val="center"/>
          </w:tcPr>
          <w:p w14:paraId="009811C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联系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电话：</w:t>
            </w:r>
          </w:p>
        </w:tc>
      </w:tr>
      <w:tr w14:paraId="19CD6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326" w:type="dxa"/>
            <w:noWrap w:val="0"/>
            <w:vAlign w:val="center"/>
          </w:tcPr>
          <w:p w14:paraId="2794983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传真：</w:t>
            </w:r>
          </w:p>
        </w:tc>
        <w:tc>
          <w:tcPr>
            <w:tcW w:w="3853" w:type="dxa"/>
            <w:noWrap w:val="0"/>
            <w:vAlign w:val="center"/>
          </w:tcPr>
          <w:p w14:paraId="4F91AC4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传真：</w:t>
            </w:r>
          </w:p>
        </w:tc>
      </w:tr>
      <w:tr w14:paraId="1D4DA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3326" w:type="dxa"/>
            <w:noWrap w:val="0"/>
            <w:vAlign w:val="center"/>
          </w:tcPr>
          <w:p w14:paraId="54EF8C5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53" w:type="dxa"/>
            <w:noWrap w:val="0"/>
            <w:vAlign w:val="center"/>
          </w:tcPr>
          <w:p w14:paraId="395A871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开户银行：</w:t>
            </w:r>
          </w:p>
        </w:tc>
      </w:tr>
      <w:tr w14:paraId="38AB5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4" w:hRule="atLeast"/>
          <w:jc w:val="center"/>
        </w:trPr>
        <w:tc>
          <w:tcPr>
            <w:tcW w:w="3326" w:type="dxa"/>
            <w:noWrap w:val="0"/>
            <w:vAlign w:val="center"/>
          </w:tcPr>
          <w:p w14:paraId="2C746D4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53" w:type="dxa"/>
            <w:noWrap w:val="0"/>
            <w:vAlign w:val="center"/>
          </w:tcPr>
          <w:p w14:paraId="2CDC4325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账号：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  <w:p w14:paraId="56663EC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3403D2B">
      <w:pPr>
        <w:rPr>
          <w:color w:val="auto"/>
          <w:highlight w:val="none"/>
        </w:rPr>
      </w:pPr>
    </w:p>
    <w:p w14:paraId="7D3EAF7E">
      <w:pPr>
        <w:rPr>
          <w:color w:val="auto"/>
          <w:highlight w:val="none"/>
        </w:rPr>
      </w:pPr>
    </w:p>
    <w:p w14:paraId="2FB29DF1">
      <w:pPr>
        <w:pStyle w:val="8"/>
        <w:rPr>
          <w:rFonts w:hint="eastAsia" w:ascii="宋体" w:hAnsi="宋体" w:eastAsia="宋体" w:cs="宋体"/>
          <w:highlight w:val="none"/>
          <w:lang w:val="en-US" w:eastAsia="zh-Hans"/>
        </w:rPr>
      </w:pPr>
    </w:p>
    <w:p w14:paraId="3F128C36">
      <w:pPr>
        <w:rPr>
          <w:highlight w:val="none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6BFA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986EE2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986EE2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9138D"/>
    <w:rsid w:val="2619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after="260" w:afterLines="0" w:line="413" w:lineRule="auto"/>
      <w:jc w:val="left"/>
      <w:outlineLvl w:val="1"/>
    </w:pPr>
    <w:rPr>
      <w:rFonts w:ascii="Arial" w:hAnsi="Arial" w:eastAsia="黑体" w:cs="Arial"/>
      <w:bCs/>
      <w:sz w:val="28"/>
      <w:szCs w:val="32"/>
    </w:rPr>
  </w:style>
  <w:style w:type="paragraph" w:styleId="3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9">
    <w:name w:val="NormalCharacter"/>
    <w:link w:val="10"/>
    <w:autoRedefine/>
    <w:qFormat/>
    <w:uiPriority w:val="0"/>
    <w:rPr>
      <w:rFonts w:ascii="宋体" w:hAnsi="宋体"/>
    </w:rPr>
  </w:style>
  <w:style w:type="paragraph" w:customStyle="1" w:styleId="10">
    <w:name w:val="UserStyle_64"/>
    <w:basedOn w:val="1"/>
    <w:link w:val="9"/>
    <w:autoRedefine/>
    <w:qFormat/>
    <w:uiPriority w:val="0"/>
    <w:pPr>
      <w:widowControl/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2026-06-08T02:11:00Z</dcterms:created>
  <dc:creator>TT</dc:creator>
  <cp:lastModifiedBy>TT</cp:lastModifiedBy>
  <dcterms:modified xsi:type="dcterms:W3CDTF">2026-06-08T02:11:48Z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9BB5928DA1B54CEE8296D7549A18DE44_11</vt:lpwstr>
  </property>
  <property fmtid="{D5CDD505-2E9C-101B-9397-08002B2CF9AE}" pid="4" name="KSOTemplateDocerSaveRecord">
    <vt:lpwstr>eyJoZGlkIjoiZjE5Zjg5NGQ1NGUxN2M4M2MzMDBiYTY5OTRmMjU5YWIiLCJ1c2VySWQiOiIxNjc5MjY2ODU1In0=</vt:lpwstr>
  </property>
</Properties>
</file>