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E293">
      <w:pPr>
        <w:jc w:val="center"/>
        <w:outlineLvl w:val="1"/>
        <w:rPr>
          <w:rFonts w:hint="eastAsia" w:ascii="宋体" w:hAnsi="宋体" w:eastAsia="宋体" w:cs="宋体"/>
          <w:highlight w:val="none"/>
          <w:lang w:val="en-US" w:eastAsia="zh-Hans"/>
        </w:rPr>
      </w:pPr>
      <w:r>
        <w:rPr>
          <w:rFonts w:hint="eastAsia" w:ascii="宋体" w:hAnsi="宋体" w:eastAsia="宋体" w:cs="宋体"/>
          <w:b/>
          <w:sz w:val="36"/>
          <w:highlight w:val="none"/>
          <w:lang w:val="en-US" w:eastAsia="zh-Hans"/>
        </w:rPr>
        <w:t>拟签订采购合同文本</w:t>
      </w:r>
    </w:p>
    <w:p w14:paraId="63ABEB54">
      <w:pPr>
        <w:spacing w:line="480" w:lineRule="auto"/>
        <w:ind w:firstLine="480" w:firstLineChars="200"/>
        <w:jc w:val="center"/>
        <w:rPr>
          <w:rFonts w:hint="eastAsia" w:ascii="宋体" w:hAnsi="宋体" w:cs="宋体"/>
          <w:color w:val="auto"/>
          <w:highlight w:val="none"/>
        </w:rPr>
      </w:pPr>
      <w:r>
        <w:rPr>
          <w:rFonts w:hint="eastAsia" w:ascii="宋体" w:hAnsi="宋体" w:cs="宋体"/>
          <w:color w:val="auto"/>
          <w:sz w:val="24"/>
          <w:szCs w:val="24"/>
          <w:highlight w:val="none"/>
        </w:rPr>
        <w:t>（本合同为合同样稿，最终稿由双方协商后确定）</w:t>
      </w:r>
    </w:p>
    <w:p w14:paraId="4FB3FAA9">
      <w:pPr>
        <w:rPr>
          <w:rFonts w:hint="eastAsia" w:ascii="宋体" w:hAnsi="宋体" w:eastAsia="宋体" w:cs="宋体"/>
          <w:b/>
          <w:snapToGrid w:val="0"/>
          <w:color w:val="auto"/>
          <w:sz w:val="28"/>
          <w:szCs w:val="28"/>
          <w:highlight w:val="none"/>
        </w:rPr>
      </w:pPr>
      <w:bookmarkStart w:id="0" w:name="_Hlt503233640"/>
      <w:bookmarkEnd w:id="0"/>
      <w:r>
        <w:rPr>
          <w:rFonts w:hint="eastAsia" w:ascii="宋体" w:hAnsi="宋体" w:eastAsia="宋体" w:cs="宋体"/>
          <w:b/>
          <w:color w:val="auto"/>
          <w:sz w:val="28"/>
          <w:szCs w:val="28"/>
          <w:highlight w:val="none"/>
        </w:rPr>
        <w:t>合同项目编号：</w:t>
      </w:r>
      <w:r>
        <w:rPr>
          <w:rFonts w:hint="eastAsia" w:ascii="宋体" w:hAnsi="宋体" w:eastAsia="宋体" w:cs="宋体"/>
          <w:b/>
          <w:snapToGrid w:val="0"/>
          <w:color w:val="auto"/>
          <w:sz w:val="28"/>
          <w:szCs w:val="28"/>
          <w:highlight w:val="none"/>
        </w:rPr>
        <w:t xml:space="preserve"> </w:t>
      </w:r>
    </w:p>
    <w:p w14:paraId="0AD7C7E5">
      <w:pPr>
        <w:spacing w:line="960" w:lineRule="auto"/>
        <w:jc w:val="center"/>
        <w:rPr>
          <w:rFonts w:hint="eastAsia" w:ascii="宋体" w:hAnsi="宋体" w:eastAsia="宋体" w:cs="宋体"/>
          <w:b/>
          <w:bCs/>
          <w:color w:val="auto"/>
          <w:sz w:val="52"/>
          <w:szCs w:val="52"/>
          <w:highlight w:val="none"/>
        </w:rPr>
      </w:pPr>
    </w:p>
    <w:p w14:paraId="7BAC331A">
      <w:pPr>
        <w:spacing w:line="960" w:lineRule="auto"/>
        <w:jc w:val="center"/>
        <w:rPr>
          <w:rFonts w:hint="eastAsia" w:ascii="宋体" w:hAnsi="宋体" w:eastAsia="宋体" w:cs="宋体"/>
          <w:b/>
          <w:bCs/>
          <w:color w:val="auto"/>
          <w:sz w:val="48"/>
          <w:szCs w:val="48"/>
          <w:highlight w:val="none"/>
          <w:lang w:eastAsia="zh-CN"/>
        </w:rPr>
      </w:pPr>
      <w:r>
        <w:rPr>
          <w:rFonts w:hint="eastAsia" w:ascii="宋体" w:hAnsi="宋体" w:cs="宋体"/>
          <w:b/>
          <w:bCs/>
          <w:color w:val="auto"/>
          <w:sz w:val="48"/>
          <w:szCs w:val="48"/>
          <w:highlight w:val="none"/>
          <w:lang w:val="en-US" w:eastAsia="zh-CN"/>
        </w:rPr>
        <w:t>汉中市</w:t>
      </w:r>
      <w:r>
        <w:rPr>
          <w:rFonts w:hint="eastAsia" w:ascii="宋体" w:hAnsi="宋体" w:eastAsia="宋体" w:cs="宋体"/>
          <w:b/>
          <w:bCs/>
          <w:color w:val="auto"/>
          <w:sz w:val="48"/>
          <w:szCs w:val="48"/>
          <w:highlight w:val="none"/>
          <w:lang w:val="en-US" w:eastAsia="zh-CN"/>
        </w:rPr>
        <w:t>南郑区⾼台中学⻝堂管理服务项⽬</w:t>
      </w:r>
    </w:p>
    <w:p w14:paraId="643AE2DC">
      <w:pPr>
        <w:spacing w:line="960" w:lineRule="auto"/>
        <w:jc w:val="center"/>
        <w:rPr>
          <w:rFonts w:hint="eastAsia" w:ascii="宋体" w:hAnsi="宋体" w:eastAsia="宋体" w:cs="宋体"/>
          <w:b/>
          <w:bCs/>
          <w:color w:val="auto"/>
          <w:sz w:val="48"/>
          <w:szCs w:val="48"/>
          <w:highlight w:val="none"/>
          <w:lang w:eastAsia="zh-CN"/>
        </w:rPr>
      </w:pPr>
    </w:p>
    <w:p w14:paraId="51A63FF1">
      <w:pPr>
        <w:spacing w:line="960" w:lineRule="auto"/>
        <w:jc w:val="center"/>
        <w:rPr>
          <w:rFonts w:hint="eastAsia" w:ascii="宋体" w:hAnsi="宋体" w:eastAsia="宋体" w:cs="宋体"/>
          <w:b/>
          <w:bCs/>
          <w:color w:val="auto"/>
          <w:sz w:val="48"/>
          <w:szCs w:val="48"/>
          <w:highlight w:val="none"/>
          <w:lang w:val="en-US" w:eastAsia="zh-CN"/>
        </w:rPr>
      </w:pPr>
      <w:r>
        <w:rPr>
          <w:rFonts w:hint="eastAsia" w:ascii="宋体" w:hAnsi="宋体" w:eastAsia="宋体" w:cs="宋体"/>
          <w:b/>
          <w:bCs/>
          <w:color w:val="auto"/>
          <w:sz w:val="48"/>
          <w:szCs w:val="48"/>
          <w:highlight w:val="none"/>
          <w:lang w:val="en-US" w:eastAsia="zh-CN"/>
        </w:rPr>
        <w:t xml:space="preserve"> </w:t>
      </w:r>
    </w:p>
    <w:p w14:paraId="45D813FF">
      <w:pPr>
        <w:rPr>
          <w:rFonts w:hint="eastAsia" w:ascii="宋体" w:hAnsi="宋体" w:eastAsia="宋体" w:cs="宋体"/>
          <w:color w:val="auto"/>
          <w:sz w:val="20"/>
          <w:szCs w:val="18"/>
          <w:highlight w:val="none"/>
        </w:rPr>
      </w:pPr>
    </w:p>
    <w:p w14:paraId="1D99A73F">
      <w:pPr>
        <w:rPr>
          <w:rFonts w:hint="eastAsia" w:ascii="宋体" w:hAnsi="宋体" w:eastAsia="宋体" w:cs="宋体"/>
          <w:color w:val="auto"/>
          <w:sz w:val="20"/>
          <w:szCs w:val="18"/>
          <w:highlight w:val="none"/>
        </w:rPr>
      </w:pPr>
    </w:p>
    <w:p w14:paraId="732EC3DE">
      <w:pPr>
        <w:spacing w:line="960" w:lineRule="auto"/>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服务合同</w:t>
      </w:r>
    </w:p>
    <w:p w14:paraId="39E8B644">
      <w:pPr>
        <w:spacing w:line="360" w:lineRule="auto"/>
        <w:rPr>
          <w:rFonts w:hint="eastAsia" w:ascii="宋体" w:hAnsi="宋体" w:eastAsia="宋体" w:cs="宋体"/>
          <w:color w:val="auto"/>
          <w:sz w:val="21"/>
          <w:szCs w:val="24"/>
          <w:highlight w:val="none"/>
        </w:rPr>
      </w:pPr>
    </w:p>
    <w:p w14:paraId="7BCA86CB">
      <w:pPr>
        <w:spacing w:line="360" w:lineRule="auto"/>
        <w:rPr>
          <w:rFonts w:hint="eastAsia" w:ascii="宋体" w:hAnsi="宋体" w:eastAsia="宋体" w:cs="宋体"/>
          <w:color w:val="auto"/>
          <w:sz w:val="21"/>
          <w:szCs w:val="24"/>
          <w:highlight w:val="none"/>
        </w:rPr>
      </w:pPr>
    </w:p>
    <w:p w14:paraId="77C6D2C2">
      <w:pPr>
        <w:spacing w:line="360" w:lineRule="auto"/>
        <w:rPr>
          <w:rFonts w:hint="eastAsia" w:ascii="宋体" w:hAnsi="宋体" w:eastAsia="宋体" w:cs="宋体"/>
          <w:color w:val="auto"/>
          <w:sz w:val="21"/>
          <w:szCs w:val="24"/>
          <w:highlight w:val="none"/>
        </w:rPr>
      </w:pPr>
    </w:p>
    <w:p w14:paraId="51DF9D58">
      <w:pPr>
        <w:spacing w:line="360" w:lineRule="auto"/>
        <w:rPr>
          <w:rFonts w:hint="eastAsia" w:ascii="宋体" w:hAnsi="宋体" w:eastAsia="宋体" w:cs="宋体"/>
          <w:color w:val="auto"/>
          <w:sz w:val="28"/>
          <w:szCs w:val="28"/>
          <w:highlight w:val="none"/>
        </w:rPr>
      </w:pPr>
    </w:p>
    <w:p w14:paraId="4CF55DDD">
      <w:pPr>
        <w:spacing w:line="360" w:lineRule="auto"/>
        <w:ind w:firstLine="1680" w:firstLineChars="6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甲方：</w:t>
      </w:r>
      <w:r>
        <w:rPr>
          <w:rFonts w:hint="eastAsia" w:ascii="宋体" w:hAnsi="宋体" w:eastAsia="宋体" w:cs="宋体"/>
          <w:color w:val="auto"/>
          <w:sz w:val="28"/>
          <w:szCs w:val="28"/>
          <w:highlight w:val="none"/>
          <w:u w:val="single"/>
        </w:rPr>
        <w:t xml:space="preserve">                          </w:t>
      </w:r>
    </w:p>
    <w:p w14:paraId="040FB778">
      <w:pPr>
        <w:spacing w:line="360" w:lineRule="auto"/>
        <w:ind w:firstLine="1680" w:firstLineChars="6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乙方：</w:t>
      </w:r>
      <w:r>
        <w:rPr>
          <w:rFonts w:hint="eastAsia" w:ascii="宋体" w:hAnsi="宋体" w:eastAsia="宋体" w:cs="宋体"/>
          <w:color w:val="auto"/>
          <w:sz w:val="28"/>
          <w:szCs w:val="28"/>
          <w:highlight w:val="none"/>
          <w:u w:val="single"/>
        </w:rPr>
        <w:t xml:space="preserve">                          </w:t>
      </w:r>
    </w:p>
    <w:p w14:paraId="0202481D">
      <w:pPr>
        <w:spacing w:line="360" w:lineRule="auto"/>
        <w:ind w:firstLine="1680" w:firstLineChars="6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签约时间：</w:t>
      </w:r>
      <w:r>
        <w:rPr>
          <w:rFonts w:hint="eastAsia" w:ascii="宋体" w:hAnsi="宋体" w:eastAsia="宋体" w:cs="宋体"/>
          <w:color w:val="auto"/>
          <w:sz w:val="28"/>
          <w:szCs w:val="28"/>
          <w:highlight w:val="none"/>
          <w:u w:val="single"/>
        </w:rPr>
        <w:t xml:space="preserve"> 202</w:t>
      </w:r>
      <w:r>
        <w:rPr>
          <w:rFonts w:hint="eastAsia" w:ascii="宋体" w:hAnsi="宋体" w:cs="宋体"/>
          <w:color w:val="auto"/>
          <w:sz w:val="28"/>
          <w:szCs w:val="28"/>
          <w:highlight w:val="none"/>
          <w:u w:val="single"/>
          <w:lang w:val="en-US" w:eastAsia="zh-CN"/>
        </w:rPr>
        <w:t>6</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31C0AFF6">
      <w:pPr>
        <w:spacing w:line="360" w:lineRule="auto"/>
        <w:jc w:val="left"/>
        <w:rPr>
          <w:rFonts w:hint="eastAsia" w:ascii="仿宋" w:hAnsi="仿宋" w:eastAsia="仿宋" w:cs="仿宋"/>
          <w:color w:val="auto"/>
          <w:sz w:val="28"/>
          <w:szCs w:val="28"/>
          <w:highlight w:val="none"/>
        </w:rPr>
        <w:sectPr>
          <w:footerReference r:id="rId3" w:type="default"/>
          <w:pgSz w:w="11906" w:h="16838"/>
          <w:pgMar w:top="1417" w:right="1417" w:bottom="1417" w:left="1417" w:header="737" w:footer="992" w:gutter="0"/>
          <w:pgNumType w:fmt="decimal"/>
          <w:cols w:space="720" w:num="1"/>
          <w:docGrid w:type="lines" w:linePitch="312" w:charSpace="0"/>
        </w:sectPr>
      </w:pPr>
    </w:p>
    <w:p w14:paraId="17B1408F">
      <w:pPr>
        <w:widowControl/>
        <w:snapToGrid w:val="0"/>
        <w:spacing w:line="360" w:lineRule="auto"/>
        <w:ind w:firstLine="480" w:firstLineChars="200"/>
        <w:jc w:val="left"/>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甲方(</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bidi="ar"/>
        </w:rPr>
        <w:t>采购人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u w:val="single"/>
          <w:lang w:bidi="ar"/>
        </w:rPr>
        <w:t xml:space="preserve">                               </w:t>
      </w:r>
    </w:p>
    <w:p w14:paraId="730F26B9">
      <w:pPr>
        <w:widowControl/>
        <w:snapToGrid w:val="0"/>
        <w:spacing w:line="360" w:lineRule="auto"/>
        <w:ind w:firstLine="720" w:firstLineChars="300"/>
        <w:jc w:val="left"/>
        <w:rPr>
          <w:rFonts w:hint="eastAsia" w:ascii="宋体" w:hAnsi="宋体" w:eastAsia="宋体" w:cs="宋体"/>
          <w:bCs/>
          <w:color w:val="auto"/>
          <w:sz w:val="24"/>
          <w:szCs w:val="24"/>
          <w:highlight w:val="none"/>
          <w:lang w:bidi="ar"/>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bidi="ar"/>
        </w:rPr>
        <w:t>乙方</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(中标人)：</w:t>
      </w:r>
      <w:r>
        <w:rPr>
          <w:rFonts w:hint="eastAsia" w:ascii="宋体" w:hAnsi="宋体" w:eastAsia="宋体" w:cs="宋体"/>
          <w:bCs/>
          <w:color w:val="auto"/>
          <w:sz w:val="24"/>
          <w:szCs w:val="24"/>
          <w:highlight w:val="none"/>
          <w:u w:val="single"/>
          <w:lang w:bidi="ar"/>
        </w:rPr>
        <w:t xml:space="preserve">                               </w:t>
      </w:r>
    </w:p>
    <w:p w14:paraId="204CD41E">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根据《中华人民共和国民法典》及其他相关法律规定，为了明确甲乙双方的权利、义务，经过甲、乙双方充分协商，就甲方</w:t>
      </w:r>
      <w:r>
        <w:rPr>
          <w:rFonts w:hint="eastAsia" w:ascii="宋体" w:hAnsi="宋体" w:eastAsia="宋体" w:cs="宋体"/>
          <w:color w:val="auto"/>
          <w:kern w:val="2"/>
          <w:sz w:val="24"/>
          <w:szCs w:val="24"/>
          <w:highlight w:val="none"/>
          <w:u w:val="single"/>
          <w:lang w:val="en-US" w:eastAsia="zh-CN" w:bidi="ar-SA"/>
        </w:rPr>
        <w:t>汉中市南郑区⾼台中学⻝堂管理服务项⽬</w:t>
      </w:r>
      <w:r>
        <w:rPr>
          <w:rFonts w:hint="eastAsia" w:ascii="宋体" w:hAnsi="宋体" w:eastAsia="宋体" w:cs="宋体"/>
          <w:color w:val="auto"/>
          <w:sz w:val="24"/>
          <w:szCs w:val="24"/>
          <w:highlight w:val="none"/>
        </w:rPr>
        <w:t>事宜达成如下协议，以便共同信守：</w:t>
      </w:r>
    </w:p>
    <w:p w14:paraId="6204A367">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第一条  项目概况</w:t>
      </w:r>
    </w:p>
    <w:p w14:paraId="716246BD">
      <w:pPr>
        <w:snapToGrid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bCs/>
          <w:color w:val="auto"/>
          <w:sz w:val="24"/>
          <w:szCs w:val="24"/>
          <w:highlight w:val="none"/>
        </w:rPr>
        <w:t>1、服务地点：</w:t>
      </w:r>
      <w:r>
        <w:rPr>
          <w:rFonts w:hint="eastAsia" w:ascii="宋体" w:hAnsi="宋体" w:cs="宋体"/>
          <w:bCs/>
          <w:color w:val="auto"/>
          <w:sz w:val="24"/>
          <w:szCs w:val="24"/>
          <w:highlight w:val="none"/>
          <w:u w:val="single"/>
          <w:lang w:val="en-US" w:eastAsia="zh-CN"/>
        </w:rPr>
        <w:t xml:space="preserve">             </w:t>
      </w:r>
    </w:p>
    <w:p w14:paraId="301E92C2">
      <w:pPr>
        <w:snapToGrid w:val="0"/>
        <w:spacing w:line="360" w:lineRule="auto"/>
        <w:ind w:firstLine="480" w:firstLineChars="2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2、服务内容：</w:t>
      </w:r>
      <w:r>
        <w:rPr>
          <w:rFonts w:hint="eastAsia" w:ascii="宋体" w:hAnsi="宋体" w:eastAsia="宋体" w:cs="宋体"/>
          <w:color w:val="auto"/>
          <w:sz w:val="24"/>
          <w:szCs w:val="24"/>
          <w:highlight w:val="none"/>
          <w:u w:val="single"/>
          <w:lang w:val="en-US" w:eastAsia="zh-CN"/>
        </w:rPr>
        <w:t xml:space="preserve">               </w:t>
      </w:r>
    </w:p>
    <w:p w14:paraId="2E7E6D87">
      <w:pPr>
        <w:widowControl w:val="0"/>
        <w:snapToGrid w:val="0"/>
        <w:spacing w:line="360" w:lineRule="auto"/>
        <w:ind w:firstLine="480" w:firstLineChars="200"/>
        <w:jc w:val="both"/>
        <w:rPr>
          <w:rFonts w:hint="default" w:ascii="宋体" w:hAnsi="宋体" w:eastAsia="宋体" w:cs="宋体"/>
          <w:bCs/>
          <w:color w:val="auto"/>
          <w:kern w:val="2"/>
          <w:sz w:val="24"/>
          <w:szCs w:val="24"/>
          <w:highlight w:val="none"/>
          <w:u w:val="single"/>
          <w:lang w:val="en-US" w:eastAsia="zh-CN" w:bidi="ar-SA"/>
        </w:rPr>
      </w:pPr>
      <w:r>
        <w:rPr>
          <w:rFonts w:hint="eastAsia" w:ascii="宋体" w:hAnsi="宋体" w:eastAsia="宋体" w:cs="宋体"/>
          <w:bCs/>
          <w:color w:val="auto"/>
          <w:kern w:val="2"/>
          <w:sz w:val="24"/>
          <w:szCs w:val="24"/>
          <w:highlight w:val="none"/>
          <w:lang w:val="en-US" w:eastAsia="zh-CN" w:bidi="ar-SA"/>
        </w:rPr>
        <w:t>3、服务期限：</w:t>
      </w:r>
      <w:r>
        <w:rPr>
          <w:rFonts w:hint="eastAsia" w:ascii="宋体" w:hAnsi="宋体" w:eastAsia="宋体" w:cs="宋体"/>
          <w:bCs/>
          <w:color w:val="auto"/>
          <w:kern w:val="2"/>
          <w:sz w:val="24"/>
          <w:szCs w:val="24"/>
          <w:highlight w:val="none"/>
          <w:u w:val="single"/>
          <w:lang w:val="en-US" w:eastAsia="zh-CN" w:bidi="ar-SA"/>
        </w:rPr>
        <w:t xml:space="preserve"> </w:t>
      </w:r>
      <w:r>
        <w:rPr>
          <w:rFonts w:hint="eastAsia" w:ascii="宋体" w:hAnsi="宋体" w:cs="宋体"/>
          <w:bCs/>
          <w:color w:val="auto"/>
          <w:kern w:val="2"/>
          <w:sz w:val="24"/>
          <w:szCs w:val="24"/>
          <w:highlight w:val="none"/>
          <w:u w:val="single"/>
          <w:lang w:val="en-US" w:eastAsia="zh-CN" w:bidi="ar-SA"/>
        </w:rPr>
        <w:t xml:space="preserve"> ⾃合同签订之⽇起⼀年   </w:t>
      </w:r>
    </w:p>
    <w:p w14:paraId="6C256BEB">
      <w:pPr>
        <w:widowControl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4、服务质量标准：</w:t>
      </w:r>
      <w:r>
        <w:rPr>
          <w:rFonts w:hint="eastAsia" w:ascii="宋体" w:hAnsi="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p>
    <w:p w14:paraId="7E06AFBB">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第二条  款项结算：</w:t>
      </w:r>
    </w:p>
    <w:p w14:paraId="1083F76A">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 进度款，每⽉服务完结开具发票后，达到付款条件起</w:t>
      </w:r>
      <w:r>
        <w:rPr>
          <w:rFonts w:hint="default" w:ascii="宋体" w:hAnsi="宋体" w:eastAsia="宋体" w:cs="宋体"/>
          <w:color w:val="auto"/>
          <w:sz w:val="24"/>
          <w:szCs w:val="24"/>
          <w:highlight w:val="none"/>
          <w:lang w:val="en-US" w:eastAsia="zh-CN"/>
        </w:rPr>
        <w:t xml:space="preserve">15个⼯作⽇内，⽀付合同总⾦额的10.0% </w:t>
      </w:r>
    </w:p>
    <w:p w14:paraId="0F91BB21">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2、 进度款，每⽉服务完结开具发票后，达到付款条件起15个⼯作⽇内，⽀付合同总⾦额的10.0% </w:t>
      </w:r>
    </w:p>
    <w:p w14:paraId="38D1FCDE">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3、 进度款，每⽉服务完结开具发票后，达到付款条件起15个⼯作⽇内，⽀付合同总⾦额的10.0% </w:t>
      </w:r>
    </w:p>
    <w:p w14:paraId="0256033A">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4、 进度款，每⽉服务完结开具发票后，达到付款条件起15个⼯作⽇内，⽀付合同总⾦额的10.0% </w:t>
      </w:r>
    </w:p>
    <w:p w14:paraId="2BAC6FE9">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5、 进度款，每⽉服务完结开具发票后，达到付款条件起15个⼯作⽇内，⽀付合同总⾦额的10.0% </w:t>
      </w:r>
    </w:p>
    <w:p w14:paraId="46C95600">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6、 进度款，每⽉服务完结开具发票后，达到付款条件起15个⼯作⽇内，⽀付合同总⾦额的10.0% </w:t>
      </w:r>
    </w:p>
    <w:p w14:paraId="12A6500C">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7、 进度款，每⽉服务完结开具发票后，达到付款条件起15个⼯作⽇内，⽀付合同总⾦额的10.0% </w:t>
      </w:r>
    </w:p>
    <w:p w14:paraId="55525F6A">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8、 进度款，每⽉服务完结开具发票后，达到付款条件起15个⼯作⽇内，⽀付合同总⾦额的10.0% </w:t>
      </w:r>
    </w:p>
    <w:p w14:paraId="61005517">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9、 进度款，每⽉服务完结开具发票后，达到付款条件起15个⼯作⽇内，⽀付合同总⾦额的10.0% </w:t>
      </w:r>
    </w:p>
    <w:p w14:paraId="3B6FF951">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10、 进度款，每⽉服务完结开具发票后，达到付款条件起15个⼯作⽇内，⽀付合同总⾦额的10.0%</w:t>
      </w:r>
    </w:p>
    <w:p w14:paraId="619B9C0C">
      <w:pPr>
        <w:widowControl/>
        <w:kinsoku w:val="0"/>
        <w:autoSpaceDE w:val="0"/>
        <w:autoSpaceDN w:val="0"/>
        <w:adjustRightInd w:val="0"/>
        <w:snapToGrid w:val="0"/>
        <w:spacing w:line="560" w:lineRule="exact"/>
        <w:ind w:firstLine="482" w:firstLineChars="200"/>
        <w:jc w:val="left"/>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第三条  服务内容及卫生管理</w:t>
      </w:r>
    </w:p>
    <w:p w14:paraId="6C6787AC">
      <w:pPr>
        <w:pStyle w:val="7"/>
        <w:numPr>
          <w:ilvl w:val="0"/>
          <w:numId w:val="0"/>
        </w:numPr>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sz w:val="24"/>
          <w:szCs w:val="24"/>
          <w:lang w:val="en-US" w:eastAsia="zh-CN"/>
        </w:rPr>
        <w:t>1.</w:t>
      </w:r>
      <w:bookmarkStart w:id="1" w:name="_GoBack"/>
      <w:bookmarkEnd w:id="1"/>
      <w:r>
        <w:rPr>
          <w:rFonts w:hint="eastAsia" w:ascii="宋体" w:hAnsi="宋体" w:eastAsia="宋体" w:cs="宋体"/>
          <w:b/>
          <w:sz w:val="24"/>
          <w:szCs w:val="24"/>
        </w:rPr>
        <w:t>项目内容:</w:t>
      </w:r>
    </w:p>
    <w:p w14:paraId="755DE73F">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lang w:val="en-US" w:eastAsia="zh-CN"/>
        </w:rPr>
        <w:t>涵盖学校食堂的食材验收、入库储存、粗加工、切配、烹饪、分餐、配餐、餐具清洗消毒、食堂环境卫生保洁、食品留样及台账记录等全流程服务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保障学校师生在校期间（含工作日早、中、晚餐、晚加餐及特殊情况下的供餐）的正常饮食供应，营造安全、整洁、舒适的就餐环境，</w:t>
      </w:r>
      <w:r>
        <w:rPr>
          <w:rFonts w:hint="eastAsia" w:ascii="宋体" w:hAnsi="宋体" w:eastAsia="宋体" w:cs="宋体"/>
          <w:sz w:val="24"/>
          <w:szCs w:val="24"/>
        </w:rPr>
        <w:t>每日保证营养均衡膳食搭配，切实保证全体</w:t>
      </w:r>
      <w:r>
        <w:rPr>
          <w:rFonts w:hint="eastAsia" w:ascii="宋体" w:hAnsi="宋体" w:eastAsia="宋体" w:cs="宋体"/>
          <w:sz w:val="24"/>
          <w:szCs w:val="24"/>
          <w:lang w:val="en-US" w:eastAsia="zh-CN"/>
        </w:rPr>
        <w:t>师生</w:t>
      </w:r>
      <w:r>
        <w:rPr>
          <w:rFonts w:hint="eastAsia" w:ascii="宋体" w:hAnsi="宋体" w:eastAsia="宋体" w:cs="宋体"/>
          <w:sz w:val="24"/>
          <w:szCs w:val="24"/>
        </w:rPr>
        <w:t>的健康发展等；做好学校食品安全管理工作等。</w:t>
      </w:r>
    </w:p>
    <w:p w14:paraId="7E5320AB">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1）用餐服务：供应方根据采购方最终食谱要求，提供营养调理、搭配、加工、烹饪等，包括但不限于资料整理收集、食堂及外围环境卫生保洁、厨余垃圾及泔水具体处理、食堂定期消杀的执行、食堂定期油烟清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载货提升机使用与维护</w:t>
      </w:r>
      <w:r>
        <w:rPr>
          <w:rFonts w:hint="eastAsia" w:ascii="宋体" w:hAnsi="宋体" w:eastAsia="宋体" w:cs="宋体"/>
          <w:sz w:val="24"/>
          <w:szCs w:val="24"/>
        </w:rPr>
        <w:t>等厨房相关工作。</w:t>
      </w:r>
    </w:p>
    <w:p w14:paraId="1860DBAF">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（2）用餐人数：</w:t>
      </w:r>
    </w:p>
    <w:p w14:paraId="466A0ED7">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具体人数以实际就餐为准。</w:t>
      </w:r>
    </w:p>
    <w:p w14:paraId="073CE8D2">
      <w:pPr>
        <w:pStyle w:val="7"/>
        <w:spacing w:line="360" w:lineRule="auto"/>
        <w:ind w:firstLine="420"/>
        <w:jc w:val="both"/>
        <w:rPr>
          <w:rFonts w:hint="eastAsia" w:ascii="宋体" w:hAnsi="宋体" w:eastAsia="宋体" w:cs="宋体"/>
          <w:sz w:val="24"/>
          <w:szCs w:val="24"/>
          <w:lang w:eastAsia="zh-CN"/>
        </w:rPr>
      </w:pPr>
      <w:r>
        <w:rPr>
          <w:rFonts w:hint="eastAsia" w:ascii="宋体" w:hAnsi="宋体" w:eastAsia="宋体" w:cs="宋体"/>
          <w:sz w:val="24"/>
          <w:szCs w:val="24"/>
        </w:rPr>
        <w:t>（3）就餐标准：</w:t>
      </w:r>
      <w:r>
        <w:rPr>
          <w:rFonts w:hint="eastAsia" w:ascii="宋体" w:hAnsi="宋体" w:eastAsia="宋体" w:cs="宋体"/>
          <w:sz w:val="24"/>
          <w:szCs w:val="24"/>
          <w:lang w:val="en-US" w:eastAsia="zh-CN"/>
        </w:rPr>
        <w:t>一般4</w:t>
      </w:r>
      <w:r>
        <w:rPr>
          <w:rFonts w:hint="eastAsia" w:ascii="宋体" w:hAnsi="宋体" w:eastAsia="宋体" w:cs="宋体"/>
          <w:sz w:val="24"/>
          <w:szCs w:val="24"/>
        </w:rPr>
        <w:t>餐制</w:t>
      </w:r>
      <w:r>
        <w:rPr>
          <w:rFonts w:hint="eastAsia" w:ascii="宋体" w:hAnsi="宋体" w:eastAsia="宋体" w:cs="宋体"/>
          <w:sz w:val="24"/>
          <w:szCs w:val="24"/>
          <w:lang w:eastAsia="zh-CN"/>
        </w:rPr>
        <w:t>，</w:t>
      </w:r>
      <w:r>
        <w:rPr>
          <w:rFonts w:hint="eastAsia" w:ascii="宋体" w:hAnsi="宋体" w:eastAsia="宋体" w:cs="宋体"/>
          <w:sz w:val="24"/>
          <w:szCs w:val="24"/>
        </w:rPr>
        <w:t>具体以实际食谱为准。</w:t>
      </w:r>
    </w:p>
    <w:p w14:paraId="711C728F">
      <w:pPr>
        <w:pStyle w:val="7"/>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供餐时间：</w:t>
      </w:r>
    </w:p>
    <w:p w14:paraId="5814D062">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早餐（预计）：上午7:10至上午7:40</w:t>
      </w:r>
    </w:p>
    <w:p w14:paraId="65F7DDEE">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午餐（预计）：中午12:00至中午12:50</w:t>
      </w:r>
    </w:p>
    <w:p w14:paraId="6D3D2600">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晚餐（预计）：下午17:30至下午 18:00</w:t>
      </w:r>
    </w:p>
    <w:p w14:paraId="2073583F">
      <w:pPr>
        <w:pStyle w:val="7"/>
        <w:spacing w:line="360" w:lineRule="auto"/>
        <w:ind w:firstLine="42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晚加餐（预计）：晚20:30至晚20:50。</w:t>
      </w:r>
    </w:p>
    <w:p w14:paraId="1BD742E6">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供餐时间应根据学校工作实际做出必要调整。</w:t>
      </w:r>
    </w:p>
    <w:p w14:paraId="3325AA12">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保证全体</w:t>
      </w:r>
      <w:r>
        <w:rPr>
          <w:rFonts w:hint="eastAsia" w:ascii="宋体" w:hAnsi="宋体" w:eastAsia="宋体" w:cs="宋体"/>
          <w:sz w:val="24"/>
          <w:szCs w:val="24"/>
          <w:lang w:val="en-US" w:eastAsia="zh-CN"/>
        </w:rPr>
        <w:t>师生</w:t>
      </w:r>
      <w:r>
        <w:rPr>
          <w:rFonts w:hint="eastAsia" w:ascii="宋体" w:hAnsi="宋体" w:eastAsia="宋体" w:cs="宋体"/>
          <w:sz w:val="24"/>
          <w:szCs w:val="24"/>
        </w:rPr>
        <w:t>用餐，包括一日</w:t>
      </w:r>
      <w:r>
        <w:rPr>
          <w:rFonts w:hint="eastAsia" w:ascii="宋体" w:hAnsi="宋体" w:eastAsia="宋体" w:cs="宋体"/>
          <w:sz w:val="24"/>
          <w:szCs w:val="24"/>
          <w:lang w:val="en-US" w:eastAsia="zh-CN"/>
        </w:rPr>
        <w:t>四</w:t>
      </w:r>
      <w:r>
        <w:rPr>
          <w:rFonts w:hint="eastAsia" w:ascii="宋体" w:hAnsi="宋体" w:eastAsia="宋体" w:cs="宋体"/>
          <w:sz w:val="24"/>
          <w:szCs w:val="24"/>
        </w:rPr>
        <w:t>餐（早上、中午、晚餐</w:t>
      </w:r>
      <w:r>
        <w:rPr>
          <w:rFonts w:hint="eastAsia" w:ascii="宋体" w:hAnsi="宋体" w:eastAsia="宋体" w:cs="宋体"/>
          <w:sz w:val="24"/>
          <w:szCs w:val="24"/>
          <w:lang w:val="en-US" w:eastAsia="zh-CN"/>
        </w:rPr>
        <w:t>及加餐</w:t>
      </w:r>
      <w:r>
        <w:rPr>
          <w:rFonts w:hint="eastAsia" w:ascii="宋体" w:hAnsi="宋体" w:eastAsia="宋体" w:cs="宋体"/>
          <w:sz w:val="24"/>
          <w:szCs w:val="24"/>
        </w:rPr>
        <w:t>）及临时用餐，节假日休息期间餐厅应根据学校工作实际，配备相应厨房工作人员，以保证人员的临时用餐需求。</w:t>
      </w:r>
    </w:p>
    <w:p w14:paraId="3EEF4369">
      <w:pPr>
        <w:pStyle w:val="7"/>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sz w:val="24"/>
          <w:szCs w:val="24"/>
          <w:lang w:val="en-US" w:eastAsia="zh-CN"/>
        </w:rPr>
        <w:t>2.</w:t>
      </w:r>
      <w:r>
        <w:rPr>
          <w:rFonts w:hint="eastAsia" w:ascii="宋体" w:hAnsi="宋体" w:eastAsia="宋体" w:cs="宋体"/>
          <w:b/>
          <w:sz w:val="24"/>
          <w:szCs w:val="24"/>
        </w:rPr>
        <w:t>服务要求</w:t>
      </w:r>
    </w:p>
    <w:p w14:paraId="129784AC">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1.供应商为本项目招聘的餐饮服务人员必须符合法律规定的劳动用工规定，签订劳动合同，且供应商应证件齐全，遵纪守法，服务人员应持有有效的健康证。人员配置须有专业管理人员，配合学校工作对接，保障制度健全运行，管理科学稳定，运营规范顺畅，安全有序得力。所有人员档案必须报备学校，服从学校监管和相关绩效考核。</w:t>
      </w:r>
    </w:p>
    <w:p w14:paraId="34F7A47D">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14:paraId="6A9113CD">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3.食堂场地、设施、人员安全由供应商自行负责，但必须接受采购人的安全管理及检查；供应商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14:paraId="7592C5CF">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4.食品安全及食品饭菜质量要符合上级教育行政管理部门、</w:t>
      </w:r>
      <w:r>
        <w:rPr>
          <w:rFonts w:hint="eastAsia" w:ascii="宋体" w:hAnsi="宋体" w:eastAsia="宋体" w:cs="宋体"/>
          <w:sz w:val="24"/>
          <w:szCs w:val="24"/>
          <w:lang w:val="en-US" w:eastAsia="zh-CN"/>
        </w:rPr>
        <w:t>市场监督管理局</w:t>
      </w:r>
      <w:r>
        <w:rPr>
          <w:rFonts w:hint="eastAsia" w:ascii="宋体" w:hAnsi="宋体" w:eastAsia="宋体" w:cs="宋体"/>
          <w:sz w:val="24"/>
          <w:szCs w:val="24"/>
        </w:rPr>
        <w:t>等食品卫生管理部门、及学校相关制度要求。</w:t>
      </w:r>
    </w:p>
    <w:p w14:paraId="10F5C340">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5.退出机制：</w:t>
      </w:r>
    </w:p>
    <w:p w14:paraId="2B7CC722">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（1）工作人员日常工作中触犯相关食品安全法律法规；</w:t>
      </w:r>
    </w:p>
    <w:p w14:paraId="3EDF8102">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（2）因相关食品安全问题引发社会面重大舆论；</w:t>
      </w:r>
    </w:p>
    <w:p w14:paraId="1A6BD08A">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（3）因相关国家方针、相关政策的颁布执行与现行餐饮服务方式有悖。凡出现上述相关问题，视情况将采取相应处罚或及时调整合作方式或终止合同措施。</w:t>
      </w:r>
    </w:p>
    <w:p w14:paraId="3DE43FFC">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6.学校每学年将邀请专业审计机构对餐饮服务单位的相关资金、运营进行监督和审计、并出具审计报告。</w:t>
      </w:r>
    </w:p>
    <w:p w14:paraId="4D34A392">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7.卫生管理：</w:t>
      </w:r>
    </w:p>
    <w:p w14:paraId="0D82B4C1">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供应商应严格按照《中华人民共和国食品安全法》的有关规定，对食堂进行管理，并自觉接受采购人的检查和监督。</w:t>
      </w:r>
    </w:p>
    <w:p w14:paraId="5F3B4C2B">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（1）厨具、餐具卫生</w:t>
      </w:r>
    </w:p>
    <w:p w14:paraId="072C01C6">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公共用餐具要严格按照程序进行清洗、消毒、保管，保持餐具干净、卫生，要达到国家卫生标准。</w:t>
      </w:r>
    </w:p>
    <w:p w14:paraId="66E3EB70">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（2）环境卫生</w:t>
      </w:r>
    </w:p>
    <w:p w14:paraId="0B75351E">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保持厨房、备餐间的整洁卫生，有消除“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14:paraId="633AE59F">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（3）食品卫生</w:t>
      </w:r>
    </w:p>
    <w:p w14:paraId="63521FC3">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食品卫生、无毒、无害，符合应有营养要求，具有相应的色香味等感官性状，达到卫生监督部门有关《食品卫生信誉度》A级要求。</w:t>
      </w:r>
    </w:p>
    <w:p w14:paraId="76E3F307">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（4）个人卫生</w:t>
      </w:r>
    </w:p>
    <w:p w14:paraId="445D6540">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员工应做到仪表整洁，不留长指甲，女员工不得戴首饰、化妆，男女员工不留胡子和长发；勤洗衣服，勤洗澡，定期检查身体，取得《健康证明》，接受预防注射疫苗；</w:t>
      </w:r>
    </w:p>
    <w:p w14:paraId="7DE4FC26">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（5）食品卫生监督</w:t>
      </w:r>
    </w:p>
    <w:p w14:paraId="62AEC0E1">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供应商应接受疾病预防控制中心、卫生监督所及采购人的监督检查和业务指导</w:t>
      </w:r>
    </w:p>
    <w:p w14:paraId="6767C46B">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8.服务人员工作要求：</w:t>
      </w:r>
    </w:p>
    <w:p w14:paraId="66AFACF1">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（1）每天从业人员确保</w:t>
      </w:r>
      <w:r>
        <w:rPr>
          <w:rFonts w:hint="eastAsia" w:ascii="宋体" w:hAnsi="宋体" w:eastAsia="宋体" w:cs="宋体"/>
          <w:sz w:val="24"/>
          <w:szCs w:val="24"/>
          <w:lang w:val="en-US" w:eastAsia="zh-CN"/>
        </w:rPr>
        <w:t>师生</w:t>
      </w:r>
      <w:r>
        <w:rPr>
          <w:rFonts w:hint="eastAsia" w:ascii="宋体" w:hAnsi="宋体" w:eastAsia="宋体" w:cs="宋体"/>
          <w:sz w:val="24"/>
          <w:szCs w:val="24"/>
        </w:rPr>
        <w:t>开餐时间正常开餐。</w:t>
      </w:r>
    </w:p>
    <w:p w14:paraId="7EF2989A">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（2）所有配置人员必须具备下列要求：</w:t>
      </w:r>
    </w:p>
    <w:p w14:paraId="7695FC13">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①所有人员必须按卫生部门规定进行健康体检，取得卫生防疫部门出具的在有效期内的健康证；</w:t>
      </w:r>
    </w:p>
    <w:p w14:paraId="5714D3AB">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②必须遵守有关管理的纪律要求，严格执行保密协议的有关规定；</w:t>
      </w:r>
    </w:p>
    <w:p w14:paraId="43116E97">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③服务期限内提供餐饮服务人员身份证明等资料，餐饮服务人员未经采购人方同意不得随意变化，相对固定；</w:t>
      </w:r>
    </w:p>
    <w:p w14:paraId="64FCC20B">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④拟投入的餐饮服务人员须符合劳动法规定的用工年龄。任何与人员有关的意外，伤害，劳（劳）务纠纷，都由供应商承担全部责任；</w:t>
      </w:r>
    </w:p>
    <w:p w14:paraId="7998F6AF">
      <w:pPr>
        <w:pStyle w:val="7"/>
        <w:spacing w:line="360" w:lineRule="auto"/>
        <w:ind w:firstLine="42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sz w:val="24"/>
          <w:szCs w:val="24"/>
        </w:rPr>
        <w:t>⑤工作期间，工作人员必须统一着装，并佩戴卫生防护用品。</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bidi="ar-SA"/>
        </w:rPr>
        <w:t>第四条  检查与考核</w:t>
      </w:r>
    </w:p>
    <w:p w14:paraId="7A2B8102">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期内，甲方根据餐饮管理制度定期或不定期对乙方进行检查；同时，家委会成员定期可对餐厅加工操作环节、环境卫生等方面进行检查并记录，如果连续两个月有超出半数成员对乙方服务表现做出差评，甲方有权无条件解除合同。乙方人员恶意浪费或偷窃食材，经核查属实，乙方应承担相应损失，甲方有权进行考核处罚责令整改，情况严重者终止合同。</w:t>
      </w:r>
    </w:p>
    <w:p w14:paraId="2A84283B">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第五条  甲方的权利和义务</w:t>
      </w:r>
    </w:p>
    <w:p w14:paraId="106B7062">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1、甲方学生食堂水、电、气应接入并能正常使用；主副食加工间、粗加工间、冷库、用具、厨房、更衣间等房间、设施器具齐全并能正常使用。</w:t>
      </w:r>
    </w:p>
    <w:p w14:paraId="5CB598D7">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2、甲方应对乙方的日常供餐、服务水平及卫生情况进行监督，并且有权要求乙方及时整改不良之处。</w:t>
      </w:r>
    </w:p>
    <w:p w14:paraId="09C9D61A">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3、甲方有权利要求乙方执行上级领导及卫生执法部门对食堂管理的相关规定，组织监督小组对乙方在卫生、质量、服务等方面进行检查监督，并对不达标地方指导改进。</w:t>
      </w:r>
    </w:p>
    <w:p w14:paraId="513A142E">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4、学生食堂各区域按要求配置全能设施器具和现有的设备、器具的</w:t>
      </w:r>
      <w:r>
        <w:rPr>
          <w:rFonts w:hint="eastAsia" w:ascii="宋体" w:hAnsi="宋体" w:eastAsia="宋体" w:cs="宋体"/>
          <w:color w:val="auto"/>
          <w:sz w:val="24"/>
          <w:szCs w:val="24"/>
          <w:highlight w:val="none"/>
          <w:lang w:eastAsia="zh-CN"/>
        </w:rPr>
        <w:t>所有权</w:t>
      </w:r>
      <w:r>
        <w:rPr>
          <w:rFonts w:hint="eastAsia" w:ascii="宋体" w:hAnsi="宋体" w:eastAsia="宋体" w:cs="宋体"/>
          <w:color w:val="auto"/>
          <w:sz w:val="24"/>
          <w:szCs w:val="24"/>
          <w:highlight w:val="none"/>
        </w:rPr>
        <w:t>均属于甲方；乙方在工作中应当合理、谨慎</w:t>
      </w:r>
      <w:r>
        <w:rPr>
          <w:rFonts w:hint="eastAsia" w:ascii="宋体" w:hAnsi="宋体" w:eastAsia="宋体" w:cs="宋体"/>
          <w:color w:val="auto"/>
          <w:sz w:val="24"/>
          <w:szCs w:val="24"/>
          <w:highlight w:val="none"/>
          <w:lang w:eastAsia="zh-CN"/>
        </w:rPr>
        <w:t>地</w:t>
      </w:r>
      <w:r>
        <w:rPr>
          <w:rFonts w:hint="eastAsia" w:ascii="宋体" w:hAnsi="宋体" w:eastAsia="宋体" w:cs="宋体"/>
          <w:color w:val="auto"/>
          <w:sz w:val="24"/>
          <w:szCs w:val="24"/>
          <w:highlight w:val="none"/>
        </w:rPr>
        <w:t>使用相关的设备、设施，乙方因人为原因导致甲方设备毁损的，乙方应当积极予以维修并承担设施、设备毁损所造成的全部费用。因乙方管理不善将设备、器具丢失的，乙方应当照价予以赔偿。</w:t>
      </w:r>
    </w:p>
    <w:p w14:paraId="102DFC49">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5、学生食堂现有设备、设施清单由甲方负责向乙方提供，并于乙方进驻工作现场时由双方派人进行移交手续。</w:t>
      </w:r>
    </w:p>
    <w:p w14:paraId="356595DE">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6、学生食堂的各项设备、在正常使用中因机器本身正常耗损所产生故障，不能正常运转的，由甲方负责维修、更换。</w:t>
      </w:r>
    </w:p>
    <w:p w14:paraId="2A7338C8">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7、甲方对乙方的服务工作有监督管理权。</w:t>
      </w:r>
    </w:p>
    <w:p w14:paraId="65D3E564">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双方在履行本合同期间，因乙方的原因导致就餐延误30分钟及以上，如果在一个月内发生两次及以上的，甲方有权解除本合同，乙方自行承担因本合同解除所造成的一切后果和责任，给甲方造成损失的，乙方应当及时、足额</w:t>
      </w:r>
      <w:r>
        <w:rPr>
          <w:rFonts w:hint="eastAsia" w:ascii="宋体" w:hAnsi="宋体" w:eastAsia="宋体" w:cs="宋体"/>
          <w:color w:val="auto"/>
          <w:sz w:val="24"/>
          <w:szCs w:val="24"/>
          <w:highlight w:val="none"/>
          <w:lang w:eastAsia="zh-CN"/>
        </w:rPr>
        <w:t>地</w:t>
      </w:r>
      <w:r>
        <w:rPr>
          <w:rFonts w:hint="eastAsia" w:ascii="宋体" w:hAnsi="宋体" w:eastAsia="宋体" w:cs="宋体"/>
          <w:color w:val="auto"/>
          <w:sz w:val="24"/>
          <w:szCs w:val="24"/>
          <w:highlight w:val="none"/>
        </w:rPr>
        <w:t>给予赔偿；甲方若有临时加班、放假以及大型接待等活动时，应提前一天告知乙方，若因就餐人员减少，甲方没有及时通知乙方，所造成的损失由甲方承担。如遇特殊情况需提前、延迟开餐或加餐时，甲方应提前一餐通知乙方，否则，造成的损失由甲方承担。</w:t>
      </w:r>
    </w:p>
    <w:p w14:paraId="0974C42A">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甲方在履行本合同的过程中，乙方应该全力支持和配合。甲方有权要求乙方遵守甲方的规章制度，对于违反规章制度的乙方员工，甲方有权以书面形式告知乙方，限期乙方进行整改，乙方应当在甲方要求的期限内完成整改，否则甲方有权解除本合同。</w:t>
      </w:r>
    </w:p>
    <w:p w14:paraId="1403EC6D">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10、甲方尊重乙方劳动和管理方式，除甲方领导和后勤管理人员外，其余人员一律不得随意出入乙方的后厨工作现场。</w:t>
      </w:r>
    </w:p>
    <w:p w14:paraId="18B5ECCE">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11、餐厅食材日常管理：</w:t>
      </w:r>
    </w:p>
    <w:p w14:paraId="55FAE365">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乙方应该严格执行验收制度，确保验收食材、物料质量符合食品安全要求，杜绝不符合食品安全要求的食材、物料进入餐厅。如果因为乙方的原因，出现食材、物料引发安全事故，乙方应当承担全部责任，并赔偿受害人因此造成的一切损失。</w:t>
      </w:r>
    </w:p>
    <w:p w14:paraId="73EA98C6">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11.2双方应当严格入库验收制度，入库验收工作由甲方食堂管理员和乙方相关人员负责，对入库原材料过秤、清点数量进行质量检测。</w:t>
      </w:r>
    </w:p>
    <w:p w14:paraId="613857E2">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12、甲方对乙方的食品加工过程、营养搭配、服务质量及安全管理、环境卫生等方面有检查和监督权，对指出的问题乙方要及时整改。</w:t>
      </w:r>
    </w:p>
    <w:p w14:paraId="3A5D8A7E">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13、甲方承担天然气管道检修、维护、改造及</w:t>
      </w:r>
      <w:r>
        <w:rPr>
          <w:rFonts w:hint="eastAsia" w:ascii="宋体" w:hAnsi="宋体" w:eastAsia="宋体" w:cs="宋体"/>
          <w:color w:val="auto"/>
          <w:sz w:val="24"/>
          <w:szCs w:val="24"/>
          <w:highlight w:val="none"/>
          <w:lang w:eastAsia="zh-CN"/>
        </w:rPr>
        <w:t>燃气</w:t>
      </w:r>
      <w:r>
        <w:rPr>
          <w:rFonts w:hint="eastAsia" w:ascii="宋体" w:hAnsi="宋体" w:eastAsia="宋体" w:cs="宋体"/>
          <w:color w:val="auto"/>
          <w:sz w:val="24"/>
          <w:szCs w:val="24"/>
          <w:highlight w:val="none"/>
        </w:rPr>
        <w:t>表维修更换、检测费用。</w:t>
      </w:r>
    </w:p>
    <w:p w14:paraId="356E3090">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14、为确保安全，甲方负责每半年对油烟管道进行一次清理，费用由甲方承担；乙方负责餐厅日常卫生维护工作。</w:t>
      </w:r>
    </w:p>
    <w:p w14:paraId="6A5D9246">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甲方对乙方制定的食谱每周进行审核确认，乙方对甲方提出的意见建议要及时改进，对暂时不能落实的问题要积极创造条件尽早落实，双方达成一致的食品要遵照执行，因原材料等特殊情况需要调整食谱时，调整量不超过20%。</w:t>
      </w:r>
    </w:p>
    <w:p w14:paraId="717A2ADA">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人员配备数量根据实际就餐学生人数、相关政策法规要求等实行动态管理，经双方协商后进行调整。服务费按照人员出勤天数、实际配备情况等据实结算。同时，乙方配合甲方建立人员档案，如有调整及时报备学校。</w:t>
      </w:r>
    </w:p>
    <w:p w14:paraId="4988B818">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第六条  乙方的权利和义务</w:t>
      </w:r>
    </w:p>
    <w:p w14:paraId="30F23E06">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1、本着办好学生食堂，不断提高就餐满意率的共同目标，乙方应当积极配合甲方，按照甲方提出的建议，及时对食堂技术人员的工作进行调整。</w:t>
      </w:r>
    </w:p>
    <w:p w14:paraId="468C1B89">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2、乙方承诺在日常工作中严格遵守《中华人民共和国食品安全法》及其他国家和地方制定的食品安全方面的法律法规，并按照本合同的约定进行日常工作。</w:t>
      </w:r>
    </w:p>
    <w:p w14:paraId="40163A9D">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3、乙方承诺在合同期间保证食品安全率100%，工作人员的人身安全率100%和机械设备安全使用率100%。</w:t>
      </w:r>
    </w:p>
    <w:p w14:paraId="7683697F">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合同履行期间，发生食品卫生问题（包括但不限于发生饭菜有异物、食材变质），经抽检或就餐人员投诉情况属实的，发现一次扣除合同金额5‰， 连续或累计出现两次及以上的，甲方有权单方解除本协议，并按本合同第合 同金额第八条第 1 款要求乙方承担违约责任。</w:t>
      </w:r>
    </w:p>
    <w:p w14:paraId="27E62BCD">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本合同履行期间，若发生食品安全事故，乙方承诺承担全部责任，并赔偿受害人因此造成的一切损失；乙方自行承担其他工作人员的人身安全责任，乙方工作人员发生的任何人身安全事故，均与甲方无关；机械设备由甲方负责安装防护装置，对于没有安全防护的设备，乙方有权拒绝使用，如因此甲方造成损失的，由甲方自行承担，除此外，乙方承担的因机械安全所造成的全部责任和全部费用。</w:t>
      </w:r>
    </w:p>
    <w:p w14:paraId="273F00E3">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本合同履行期间，因乙方原因所发生的食品安全、人身安全、机械安全事故，所产生的全部费用和相应的责任均由乙方承担。</w:t>
      </w:r>
    </w:p>
    <w:p w14:paraId="38482C95">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4、乙方的工作人员应当符合国家食品药品监督部门和其他相关部门的要求，乙方工作人员均应当持有效的《健康证》。</w:t>
      </w:r>
    </w:p>
    <w:p w14:paraId="309CD270">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5、乙方应按时、保质、保量地完成项目工作任务，确保甲方节假日加班和日常延时工作的需求，确保日常工作正常运行。</w:t>
      </w:r>
    </w:p>
    <w:p w14:paraId="59E3A6E1">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6、乙方应当向所属员工提供符合《中华人民共和国食品安全法》要求的、印有乙方企业标识的工作服和出入证，乙方员工在工作区域时，必须穿着统一工作服。</w:t>
      </w:r>
    </w:p>
    <w:p w14:paraId="63B18FF6">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7、乙方应当保证其员工身份的真实性以及政审合格。</w:t>
      </w:r>
    </w:p>
    <w:p w14:paraId="339DEAAE">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8、根据伙食费标准做好伙食调剂，控制伙食成本，杜绝浪费。乙方同时应妥善保管甲方仓库内食材，坚决杜绝人为损耗。否则，乙方应承担赔偿责任。</w:t>
      </w:r>
    </w:p>
    <w:p w14:paraId="165D77B4">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按《中华人民共和国食品安全法》相关规定，每餐次的食品成品必须留样。留样食品不得少于125克，并记录留样食品名称、留样量、留样时间、留样人员等，留样食品应使用清洁的专用容器和专用冷藏设施进行储存，并专柜冷藏保存48小时以上。</w:t>
      </w:r>
    </w:p>
    <w:p w14:paraId="3F9E1033">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乙方须与员工签订正式劳动合同，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16C1358B">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11、定期征求就餐人员意见，根据甲方意见有针对性整改。</w:t>
      </w:r>
    </w:p>
    <w:p w14:paraId="19E40C2F">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12、甲方配置的机械设备，乙方不得转让、转包、转租、变卖或擅自挪用其他用途。必须爱护甲方的设备和财产，由于违规操作造成的设施设备、炊具、餐具等的损坏，由乙方照价赔偿。</w:t>
      </w:r>
    </w:p>
    <w:p w14:paraId="091CE517">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13、乙方负责对餐厅水、电、燃气安全等设施设备进行检查巡视，发现问题及时向甲方汇报并第一时间处理。</w:t>
      </w:r>
    </w:p>
    <w:p w14:paraId="55871636">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14、遇到甲方有重大活动时，乙方必须按照甲方要求保障饮食供应，需提前或延后就餐时，由甲方负责提前通知乙方，乙方须配合并保证供应。</w:t>
      </w:r>
    </w:p>
    <w:p w14:paraId="46D4B5BB">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15、乙方需调整人员时，必须事先向甲方备案，应交健康证、在岗出入证、工作证等，并办理其他手续。</w:t>
      </w:r>
    </w:p>
    <w:p w14:paraId="34B3C133">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16、乙方从事餐饮的所有人员必须办理卫生防疫部门发放的健康证，并承担办证费用。</w:t>
      </w:r>
    </w:p>
    <w:p w14:paraId="15AC452B">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17、乙方必须向甲方开具符合甲方要求的正规发票，税费由乙方承担。</w:t>
      </w:r>
    </w:p>
    <w:p w14:paraId="48175B4B">
      <w:pPr>
        <w:widowControl/>
        <w:adjustRightInd w:val="0"/>
        <w:snapToGrid w:val="0"/>
        <w:spacing w:line="360" w:lineRule="auto"/>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第七条  违约责任及解决合同纠纷的方式</w:t>
      </w:r>
    </w:p>
    <w:p w14:paraId="1D96878E">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1、双方任何一方违反本合同任一条款即构成违约，任何一方有权终止合同。</w:t>
      </w:r>
    </w:p>
    <w:p w14:paraId="4EA7CD3D">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2、在本合同履行期间如产生争议，双方应当首先进行友好协商，若协商不成，可向甲方所在地人民法院提起诉讼起诉。</w:t>
      </w:r>
    </w:p>
    <w:p w14:paraId="295EBA04">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3、除因不可抗拒的事件外（如地震、水灾、旱灾、战争、政府禁令、罢工等），任何一方不得以任何理由不经协商而中断合同的有效执行。</w:t>
      </w:r>
    </w:p>
    <w:p w14:paraId="341A5F80">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为建立友好合作关系，确保双方权益和商业秘密不受侵犯，双方均负有保密责任和义务，未经任何一方允许，不得将对方商业信息、技术信息、经营信息及本合同约定的相关内容转载或公开给第三方，若任何一方违反本条款，需承担违约金10万元，同时承担相应的法律责任。</w:t>
      </w:r>
    </w:p>
    <w:p w14:paraId="11557C12">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5、无论因任何原因，双方不再合作，甲方不得以任何理由、任何形式雇佣乙方现有管理干部或员工，如违反规定，需承担赔偿20万元违约金并承担相关法律责任。</w:t>
      </w:r>
    </w:p>
    <w:p w14:paraId="5B928835">
      <w:pPr>
        <w:widowControl w:val="0"/>
        <w:spacing w:after="120" w:afterLines="0" w:afterAutospacing="0"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乙方不能按照管理制度完成管理目标，甲方有权要求乙方限期整改，经甲方书面函告逾期未整改的，每逾1日甲方将扣除乙方2000元的违约金，并在当月餐饮管理服务费用中扣除；且因此造成甲方经济损失，由乙方承担；情形严重时，甲方有权终止合同。</w:t>
      </w:r>
    </w:p>
    <w:p w14:paraId="41A682AC">
      <w:pPr>
        <w:widowControl w:val="0"/>
        <w:spacing w:after="120" w:afterLines="0" w:afterAutospacing="0"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应制定质量保证体系，切实做好项目餐饮管理服务工作，餐饮人员必须各尽其职，保证符合各项工作质量要求，如安排不当、人员不能到位严重影响甲方正常工作的，且经过甲方书面函告仍未改正的，按2000元/次给予经济处罚，并在当月餐饮管理服务费用中扣除。</w:t>
      </w:r>
    </w:p>
    <w:p w14:paraId="1706E71A">
      <w:pPr>
        <w:widowControl w:val="0"/>
        <w:spacing w:after="120" w:afterLines="0" w:afterAutospacing="0"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甲方对乙方提供的服务工作进行质量检查、考核。对工作表现差的员工提出更换（包括项目内各级管理员和员工），乙方须予及时调换人员。项目经理必须服从采购单位提出的合理要求。</w:t>
      </w:r>
    </w:p>
    <w:p w14:paraId="13A70DAD">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第八条 其他要求</w:t>
      </w:r>
    </w:p>
    <w:p w14:paraId="239557EC">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bidi="ar"/>
        </w:rPr>
        <w:t xml:space="preserve">1、每天从业人员工作时间能确保学校开餐时间正常开餐。 </w:t>
      </w:r>
    </w:p>
    <w:p w14:paraId="116BD49D">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bidi="ar"/>
        </w:rPr>
        <w:t xml:space="preserve">2、以上配置所有人员必须具备下列要求： </w:t>
      </w:r>
    </w:p>
    <w:p w14:paraId="13BDE221">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bidi="ar"/>
        </w:rPr>
        <w:t xml:space="preserve">（1）所有人员必须按卫生部门规定进行健康体检，取得卫生防疫部门出具的在有效期内的健康证； </w:t>
      </w:r>
    </w:p>
    <w:p w14:paraId="6D567707">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bidi="ar"/>
        </w:rPr>
        <w:t xml:space="preserve">（2）必须遵守有关管理的纪律要求，严格执行保密协议的有关规定； </w:t>
      </w:r>
    </w:p>
    <w:p w14:paraId="53AB1167">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bidi="ar"/>
        </w:rPr>
        <w:t>（3）服务期限内提供餐饮服务人员身份证明等资料，餐饮服务人员未经</w:t>
      </w:r>
      <w:r>
        <w:rPr>
          <w:rFonts w:hint="eastAsia" w:ascii="宋体" w:hAnsi="宋体" w:eastAsia="宋体" w:cs="宋体"/>
          <w:snapToGrid w:val="0"/>
          <w:color w:val="auto"/>
          <w:kern w:val="0"/>
          <w:sz w:val="24"/>
          <w:szCs w:val="24"/>
          <w:highlight w:val="none"/>
          <w:lang w:eastAsia="zh-CN" w:bidi="ar"/>
        </w:rPr>
        <w:t>甲方</w:t>
      </w:r>
      <w:r>
        <w:rPr>
          <w:rFonts w:hint="eastAsia" w:ascii="宋体" w:hAnsi="宋体" w:eastAsia="宋体" w:cs="宋体"/>
          <w:snapToGrid w:val="0"/>
          <w:color w:val="auto"/>
          <w:kern w:val="0"/>
          <w:sz w:val="24"/>
          <w:szCs w:val="24"/>
          <w:highlight w:val="none"/>
          <w:lang w:bidi="ar"/>
        </w:rPr>
        <w:t xml:space="preserve">同意不得随意变化，相对固定。 </w:t>
      </w:r>
    </w:p>
    <w:p w14:paraId="1D0C47CA">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bidi="ar"/>
        </w:rPr>
        <w:t xml:space="preserve">(4)拟投入的餐饮服务人员须符合劳动法规定的用工年龄。任何与人员有关的意外，伤害，劳务纠纷，都需投标人承担。  </w:t>
      </w:r>
    </w:p>
    <w:p w14:paraId="5FEB429D">
      <w:pPr>
        <w:widowControl/>
        <w:adjustRightInd w:val="0"/>
        <w:snapToGrid w:val="0"/>
        <w:spacing w:line="360" w:lineRule="auto"/>
        <w:ind w:firstLine="480" w:firstLineChars="200"/>
        <w:jc w:val="both"/>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（5）工作期间，工作人员必须统一着装，并佩戴卫生防护用品。</w:t>
      </w:r>
    </w:p>
    <w:p w14:paraId="195838CA">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第九条  合同变更与终止</w:t>
      </w:r>
    </w:p>
    <w:p w14:paraId="03A93440">
      <w:pPr>
        <w:widowControl w:val="0"/>
        <w:tabs>
          <w:tab w:val="left" w:pos="5625"/>
        </w:tabs>
        <w:snapToGrid w:val="0"/>
        <w:spacing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1、合同期间任何一方不得随意终止合同。</w:t>
      </w:r>
    </w:p>
    <w:p w14:paraId="2F37044C">
      <w:pPr>
        <w:widowControl w:val="0"/>
        <w:tabs>
          <w:tab w:val="left" w:pos="5625"/>
        </w:tabs>
        <w:snapToGrid w:val="0"/>
        <w:spacing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2、本合同规定的履行期限届满，合同自动终止。</w:t>
      </w:r>
    </w:p>
    <w:p w14:paraId="7083E9D1">
      <w:pPr>
        <w:widowControl w:val="0"/>
        <w:tabs>
          <w:tab w:val="left" w:pos="5625"/>
        </w:tabs>
        <w:snapToGrid w:val="0"/>
        <w:spacing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3、乙方应自觉遵守甲方工作纪律、规章制度，服从甲方管理。因乙方原因给甲方造成严重后果，甲方可以单方面解除合同。</w:t>
      </w:r>
    </w:p>
    <w:p w14:paraId="0C207477">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 xml:space="preserve">第十条  </w:t>
      </w:r>
      <w:r>
        <w:rPr>
          <w:rFonts w:hint="eastAsia" w:ascii="宋体" w:hAnsi="宋体" w:eastAsia="宋体" w:cs="宋体"/>
          <w:color w:val="auto"/>
          <w:kern w:val="2"/>
          <w:sz w:val="24"/>
          <w:szCs w:val="24"/>
          <w:highlight w:val="none"/>
          <w:lang w:val="en-US" w:eastAsia="zh-CN" w:bidi="ar-SA"/>
        </w:rPr>
        <w:fldChar w:fldCharType="begin"/>
      </w:r>
      <w:r>
        <w:rPr>
          <w:rFonts w:hint="eastAsia" w:ascii="宋体" w:hAnsi="宋体" w:eastAsia="宋体" w:cs="宋体"/>
          <w:color w:val="auto"/>
          <w:kern w:val="2"/>
          <w:sz w:val="24"/>
          <w:szCs w:val="24"/>
          <w:highlight w:val="none"/>
          <w:lang w:val="en-US" w:eastAsia="zh-CN" w:bidi="ar-SA"/>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kern w:val="2"/>
          <w:sz w:val="24"/>
          <w:szCs w:val="24"/>
          <w:highlight w:val="none"/>
          <w:lang w:val="en-US" w:eastAsia="zh-CN" w:bidi="ar-SA"/>
        </w:rPr>
        <w:fldChar w:fldCharType="separate"/>
      </w:r>
      <w:r>
        <w:rPr>
          <w:rFonts w:hint="eastAsia" w:ascii="宋体" w:hAnsi="宋体" w:eastAsia="宋体" w:cs="宋体"/>
          <w:b/>
          <w:bCs/>
          <w:color w:val="auto"/>
          <w:kern w:val="2"/>
          <w:sz w:val="24"/>
          <w:szCs w:val="24"/>
          <w:highlight w:val="none"/>
          <w:lang w:val="en-US" w:eastAsia="zh-CN" w:bidi="ar-SA"/>
        </w:rPr>
        <w:t>不可抗力</w:t>
      </w:r>
      <w:r>
        <w:rPr>
          <w:rFonts w:hint="eastAsia" w:ascii="宋体" w:hAnsi="宋体" w:eastAsia="宋体" w:cs="宋体"/>
          <w:b/>
          <w:bCs/>
          <w:color w:val="auto"/>
          <w:kern w:val="2"/>
          <w:sz w:val="24"/>
          <w:szCs w:val="24"/>
          <w:highlight w:val="none"/>
          <w:lang w:val="en-US" w:eastAsia="zh-CN" w:bidi="ar-SA"/>
        </w:rPr>
        <w:fldChar w:fldCharType="end"/>
      </w:r>
    </w:p>
    <w:p w14:paraId="2CF1695F">
      <w:pPr>
        <w:widowControl/>
        <w:snapToGrid w:val="0"/>
        <w:spacing w:line="360" w:lineRule="auto"/>
        <w:ind w:right="-263" w:rightChars="-9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甲乙双方任何一方由于</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不可抗力</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原因不能履行合同时，应及时向对</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方通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违约责任</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w:t>
      </w:r>
    </w:p>
    <w:p w14:paraId="521701C4">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第十一条  争议解决</w:t>
      </w:r>
    </w:p>
    <w:p w14:paraId="59FCB50D">
      <w:pPr>
        <w:widowControl/>
        <w:snapToGrid w:val="0"/>
        <w:spacing w:line="360" w:lineRule="auto"/>
        <w:ind w:right="-263" w:rightChars="-9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双方本着友好合作的态度,对合同履行过程中发生的</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"http://set2.mail.qq.com/cgi-bin/mail_spam?action=check_link&amp;spam=0&amp;url=http%3A%2F%2Fbaike%2Ebaidu%2Ecom%2Fview%2F322875%2Ehtm"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纠纷</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应及时协商解决,协商不成，向甲方所在地人民法院诉讼解决。</w:t>
      </w:r>
    </w:p>
    <w:p w14:paraId="172D96ED">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第十二条  监督和管理</w:t>
      </w:r>
    </w:p>
    <w:p w14:paraId="35557407">
      <w:pPr>
        <w:widowControl/>
        <w:snapToGrid w:val="0"/>
        <w:spacing w:line="360" w:lineRule="auto"/>
        <w:ind w:right="-263" w:rightChars="-9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甲乙双方均应自觉配合有关监督管理部门对合同履行情况的监督检查，如实反映情况，提供有关资料；否则，将对有关单位、当事人按照有关规定予以处罚。</w:t>
      </w:r>
    </w:p>
    <w:p w14:paraId="225B2673">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第十三条  附则</w:t>
      </w:r>
    </w:p>
    <w:p w14:paraId="3EA621A0">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1、本次采购项目的</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通知书及澄清说明文件均为本合同的组成部分，甲、乙双方必须全面遵守，如有违反，应承担违约责任。</w:t>
      </w:r>
    </w:p>
    <w:p w14:paraId="23963A2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2、本合同一式陆份,甲乙双方各执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p>
    <w:p w14:paraId="676DAF00">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3、本合同自签订之日起生效。</w:t>
      </w:r>
    </w:p>
    <w:p w14:paraId="65689826">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4、附件：/</w:t>
      </w:r>
    </w:p>
    <w:p w14:paraId="53B82579">
      <w:pPr>
        <w:adjustRightInd w:val="0"/>
        <w:snapToGrid w:val="0"/>
        <w:spacing w:line="460" w:lineRule="exact"/>
        <w:ind w:firstLine="480" w:firstLineChars="200"/>
        <w:rPr>
          <w:rFonts w:hint="eastAsia" w:ascii="宋体" w:hAnsi="宋体" w:eastAsia="宋体" w:cs="宋体"/>
          <w:color w:val="auto"/>
          <w:sz w:val="24"/>
          <w:szCs w:val="24"/>
          <w:highlight w:val="none"/>
        </w:rPr>
      </w:pPr>
    </w:p>
    <w:tbl>
      <w:tblPr>
        <w:tblStyle w:val="5"/>
        <w:tblW w:w="0" w:type="auto"/>
        <w:jc w:val="center"/>
        <w:tblLayout w:type="fixed"/>
        <w:tblCellMar>
          <w:top w:w="0" w:type="dxa"/>
          <w:left w:w="108" w:type="dxa"/>
          <w:bottom w:w="0" w:type="dxa"/>
          <w:right w:w="108" w:type="dxa"/>
        </w:tblCellMar>
      </w:tblPr>
      <w:tblGrid>
        <w:gridCol w:w="4643"/>
        <w:gridCol w:w="4643"/>
      </w:tblGrid>
      <w:tr w14:paraId="14E076AE">
        <w:tblPrEx>
          <w:tblCellMar>
            <w:top w:w="0" w:type="dxa"/>
            <w:left w:w="108" w:type="dxa"/>
            <w:bottom w:w="0" w:type="dxa"/>
            <w:right w:w="108" w:type="dxa"/>
          </w:tblCellMar>
        </w:tblPrEx>
        <w:trPr>
          <w:jc w:val="center"/>
        </w:trPr>
        <w:tc>
          <w:tcPr>
            <w:tcW w:w="4643" w:type="dxa"/>
            <w:noWrap w:val="0"/>
            <w:vAlign w:val="top"/>
          </w:tcPr>
          <w:p w14:paraId="6E722C54">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甲方名称（盖章）:</w:t>
            </w:r>
          </w:p>
          <w:p w14:paraId="2122D535">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14:paraId="33706BF3">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法定代表人或委托代理人（签字）：</w:t>
            </w:r>
          </w:p>
          <w:p w14:paraId="50740D24">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14:paraId="7F28CFB2">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14:paraId="3D82A637">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账号</w:t>
            </w:r>
            <w:r>
              <w:rPr>
                <w:rFonts w:hint="eastAsia" w:ascii="宋体" w:hAnsi="宋体" w:eastAsia="宋体" w:cs="宋体"/>
                <w:color w:val="auto"/>
                <w:kern w:val="0"/>
                <w:sz w:val="24"/>
                <w:szCs w:val="24"/>
                <w:highlight w:val="none"/>
              </w:rPr>
              <w:t>：</w:t>
            </w:r>
          </w:p>
        </w:tc>
        <w:tc>
          <w:tcPr>
            <w:tcW w:w="4643" w:type="dxa"/>
            <w:noWrap w:val="0"/>
            <w:vAlign w:val="top"/>
          </w:tcPr>
          <w:p w14:paraId="2FFC5809">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乙方名称（盖章）:</w:t>
            </w:r>
          </w:p>
          <w:p w14:paraId="5978091E">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14:paraId="04399D52">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法定代表人或委托代理人（签字）：</w:t>
            </w:r>
          </w:p>
          <w:p w14:paraId="3DBEBEE7">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14:paraId="5461DDBD">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14:paraId="741864AB">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账号</w:t>
            </w:r>
            <w:r>
              <w:rPr>
                <w:rFonts w:hint="eastAsia" w:ascii="宋体" w:hAnsi="宋体" w:eastAsia="宋体" w:cs="宋体"/>
                <w:color w:val="auto"/>
                <w:kern w:val="0"/>
                <w:sz w:val="24"/>
                <w:szCs w:val="24"/>
                <w:highlight w:val="none"/>
              </w:rPr>
              <w:t>：</w:t>
            </w:r>
          </w:p>
        </w:tc>
      </w:tr>
    </w:tbl>
    <w:p w14:paraId="2963DE93">
      <w:pPr>
        <w:rPr>
          <w:rFonts w:hint="eastAsia" w:ascii="宋体" w:hAnsi="宋体" w:eastAsia="宋体" w:cs="宋体"/>
          <w:lang w:val="en-US" w:eastAsia="zh-Hans"/>
        </w:rPr>
      </w:pPr>
      <w:r>
        <w:rPr>
          <w:rFonts w:hint="eastAsia" w:ascii="宋体" w:hAnsi="宋体" w:eastAsia="宋体" w:cs="宋体"/>
          <w:b/>
          <w:bCs/>
          <w:color w:val="auto"/>
          <w:sz w:val="24"/>
          <w:szCs w:val="24"/>
          <w:highlight w:val="none"/>
          <w:lang w:val="en-US" w:eastAsia="zh-Hans"/>
        </w:rPr>
        <w:t>注：甲乙双方正式签订合同时根据协商完善相关内容</w:t>
      </w:r>
      <w:r>
        <w:rPr>
          <w:rFonts w:hint="eastAsia" w:ascii="宋体" w:hAnsi="宋体" w:eastAsia="宋体" w:cs="宋体"/>
          <w:lang w:val="en-US" w:eastAsia="zh-Hans"/>
        </w:rPr>
        <w:br w:type="textWrapping"/>
      </w:r>
    </w:p>
    <w:p w14:paraId="19324571">
      <w:pPr>
        <w:rPr>
          <w:rFonts w:hint="eastAsia" w:ascii="宋体" w:hAnsi="宋体" w:cs="宋体"/>
          <w:b/>
          <w:color w:val="auto"/>
          <w:sz w:val="24"/>
          <w:szCs w:val="24"/>
          <w:highlight w:val="none"/>
        </w:rPr>
      </w:pPr>
    </w:p>
    <w:p w14:paraId="232183BD"/>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B7AB1">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18E01F8">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t xml:space="preserve">第 </w:t>
                          </w: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w:t>
                          </w:r>
                          <w:r>
                            <w:rPr>
                              <w:rFonts w:ascii="Calibri" w:hAnsi="Calibri" w:eastAsia="宋体" w:cs="Times New Roman"/>
                              <w:kern w:val="2"/>
                              <w:sz w:val="18"/>
                              <w:szCs w:val="24"/>
                              <w:lang w:val="en-US" w:eastAsia="zh-CN" w:bidi="ar-SA"/>
                            </w:rPr>
                            <w:fldChar w:fldCharType="end"/>
                          </w:r>
                          <w:r>
                            <w:rPr>
                              <w:rFonts w:ascii="Calibri" w:hAnsi="Calibri" w:eastAsia="宋体" w:cs="Times New Roman"/>
                              <w:kern w:val="2"/>
                              <w:sz w:val="18"/>
                              <w:szCs w:val="24"/>
                              <w:lang w:val="en-US" w:eastAsia="zh-CN" w:bidi="ar-SA"/>
                            </w:rPr>
                            <w:t xml:space="preserve"> 页 共 </w:t>
                          </w: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NUMPAGES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117</w:t>
                          </w:r>
                          <w:r>
                            <w:rPr>
                              <w:rFonts w:ascii="Calibri" w:hAnsi="Calibri" w:eastAsia="宋体" w:cs="Times New Roman"/>
                              <w:kern w:val="2"/>
                              <w:sz w:val="18"/>
                              <w:szCs w:val="24"/>
                              <w:lang w:val="en-US" w:eastAsia="zh-CN" w:bidi="ar-SA"/>
                            </w:rPr>
                            <w:fldChar w:fldCharType="end"/>
                          </w:r>
                          <w:r>
                            <w:rPr>
                              <w:rFonts w:ascii="Calibri" w:hAnsi="Calibri" w:eastAsia="宋体" w:cs="Times New Roman"/>
                              <w:kern w:val="2"/>
                              <w:sz w:val="18"/>
                              <w:szCs w:val="24"/>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X1r85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kX1r85AgAAcQQAAA4AAAAAAAAAAQAgAAAAHwEAAGRycy9lMm9Eb2Mu&#10;eG1sUEsFBgAAAAAGAAYAWQEAAMoFAAAAAA==&#10;">
              <v:fill on="f" focussize="0,0"/>
              <v:stroke on="f" weight="0.5pt"/>
              <v:imagedata o:title=""/>
              <o:lock v:ext="edit" aspectratio="f"/>
              <v:textbox inset="0mm,0mm,0mm,0mm" style="mso-fit-shape-to-text:t;">
                <w:txbxContent>
                  <w:p w14:paraId="318E01F8">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t xml:space="preserve">第 </w:t>
                    </w: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w:t>
                    </w:r>
                    <w:r>
                      <w:rPr>
                        <w:rFonts w:ascii="Calibri" w:hAnsi="Calibri" w:eastAsia="宋体" w:cs="Times New Roman"/>
                        <w:kern w:val="2"/>
                        <w:sz w:val="18"/>
                        <w:szCs w:val="24"/>
                        <w:lang w:val="en-US" w:eastAsia="zh-CN" w:bidi="ar-SA"/>
                      </w:rPr>
                      <w:fldChar w:fldCharType="end"/>
                    </w:r>
                    <w:r>
                      <w:rPr>
                        <w:rFonts w:ascii="Calibri" w:hAnsi="Calibri" w:eastAsia="宋体" w:cs="Times New Roman"/>
                        <w:kern w:val="2"/>
                        <w:sz w:val="18"/>
                        <w:szCs w:val="24"/>
                        <w:lang w:val="en-US" w:eastAsia="zh-CN" w:bidi="ar-SA"/>
                      </w:rPr>
                      <w:t xml:space="preserve"> 页 共 </w:t>
                    </w: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NUMPAGES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117</w:t>
                    </w:r>
                    <w:r>
                      <w:rPr>
                        <w:rFonts w:ascii="Calibri" w:hAnsi="Calibri" w:eastAsia="宋体" w:cs="Times New Roman"/>
                        <w:kern w:val="2"/>
                        <w:sz w:val="18"/>
                        <w:szCs w:val="24"/>
                        <w:lang w:val="en-US" w:eastAsia="zh-CN" w:bidi="ar-SA"/>
                      </w:rPr>
                      <w:fldChar w:fldCharType="end"/>
                    </w:r>
                    <w:r>
                      <w:rPr>
                        <w:rFonts w:ascii="Calibri" w:hAnsi="Calibri" w:eastAsia="宋体" w:cs="Times New Roman"/>
                        <w:kern w:val="2"/>
                        <w:sz w:val="18"/>
                        <w:szCs w:val="24"/>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70ED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5474BA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55474BA3">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宋体" w:hAnsi="宋体" w:cs="宋体"/>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161EEF"/>
    <w:rsid w:val="17283338"/>
    <w:rsid w:val="1EB6573C"/>
    <w:rsid w:val="31DD281F"/>
    <w:rsid w:val="6655784E"/>
    <w:rsid w:val="7BCC4AD2"/>
    <w:rsid w:val="7DDC7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宋体" w:hAnsi="宋体" w:eastAsia="宋体" w:cs="宋体"/>
      <w:sz w:val="20"/>
      <w:szCs w:val="20"/>
      <w:lang w:val="en-US" w:eastAsia="en-US" w:bidi="ar-SA"/>
    </w:rPr>
  </w:style>
  <w:style w:type="paragraph" w:styleId="3">
    <w:name w:val="index 5"/>
    <w:basedOn w:val="1"/>
    <w:next w:val="1"/>
    <w:qFormat/>
    <w:uiPriority w:val="0"/>
    <w:pPr>
      <w:ind w:left="800" w:leftChars="800"/>
    </w:pPr>
    <w:rPr>
      <w:rFonts w:ascii="Calibri" w:hAnsi="Calibri" w:eastAsia="宋体" w:cs="Times New Roman"/>
      <w:szCs w:val="22"/>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6983</Words>
  <Characters>7123</Characters>
  <Lines>0</Lines>
  <Paragraphs>0</Paragraphs>
  <TotalTime>0</TotalTime>
  <ScaleCrop>false</ScaleCrop>
  <LinksUpToDate>false</LinksUpToDate>
  <CharactersWithSpaces>7374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2025-07-30T09:28:00Z</dcterms:created>
  <dc:creator>Administrator</dc:creator>
  <cp:lastModifiedBy>^^</cp:lastModifiedBy>
  <dcterms:modified xsi:type="dcterms:W3CDTF">2026-08-05T11:54:29Z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eyJoZGlkIjoiMjZkY2ZmZmNkZTA3ODhhN2JjOTlmMWExZGFiYjRlYTUiLCJ1c2VySWQiOiIzNzI3MTQxNDAifQ==</vt:lpwstr>
  </property>
  <property fmtid="{D5CDD505-2E9C-101B-9397-08002B2CF9AE}" pid="4" name="ICV">
    <vt:lpwstr>1671FFFF216E4D9EA932D07FEA13F171_12</vt:lpwstr>
  </property>
</Properties>
</file>