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版本号：DX2026-12020260521001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“清朗西安”网络主题宣传活动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DX2026-120</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“清朗西安”网络主题宣传活动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“清朗西安”网络主题宣传活动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中共西安市委网络安全和信息化委员会办公室“清朗西安”网络主题宣传活动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采购包1（“清朗西安”网络主题宣传活动）：属于专门面向中小企业采购。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4、承诺函：本项目不接受联合体投标，不得转包、分包或以其它联营挂靠形式分包给其他单位或个人，提供承诺函（格式自拟）。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中共西安市委网络安全和信息化委员会办公室“清朗西安”网络主题宣传活动。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清朗西安网络主题宣传活动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标的名称：清朗西安网络主题宣传活动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一、活动主题</w:t>
            </w:r>
          </w:p>
          <w:p>
            <w:pPr>
              <w:pStyle w:val="null3"/>
            </w:pPr>
            <w:r>
              <w:rPr>
                <w:rFonts w:ascii="仿宋_GB2312" w:hAnsi="仿宋_GB2312" w:cs="仿宋_GB2312" w:eastAsia="仿宋_GB2312"/>
              </w:rPr>
              <w:t>“清朗西安”网络主题宣传活动</w:t>
            </w:r>
          </w:p>
          <w:p>
            <w:pPr>
              <w:pStyle w:val="null3"/>
            </w:pPr>
            <w:r>
              <w:rPr>
                <w:rFonts w:ascii="仿宋_GB2312" w:hAnsi="仿宋_GB2312" w:cs="仿宋_GB2312" w:eastAsia="仿宋_GB2312"/>
                <w:b/>
              </w:rPr>
              <w:t>二、活动时间</w:t>
            </w:r>
          </w:p>
          <w:p>
            <w:pPr>
              <w:pStyle w:val="null3"/>
            </w:pPr>
            <w:r>
              <w:rPr>
                <w:rFonts w:ascii="仿宋_GB2312" w:hAnsi="仿宋_GB2312" w:cs="仿宋_GB2312" w:eastAsia="仿宋_GB2312"/>
              </w:rPr>
              <w:t>合同签订日起</w:t>
            </w:r>
            <w:r>
              <w:rPr>
                <w:rFonts w:ascii="仿宋_GB2312" w:hAnsi="仿宋_GB2312" w:cs="仿宋_GB2312" w:eastAsia="仿宋_GB2312"/>
              </w:rPr>
              <w:t>-11月</w:t>
            </w:r>
            <w:r>
              <w:rPr>
                <w:rFonts w:ascii="仿宋_GB2312" w:hAnsi="仿宋_GB2312" w:cs="仿宋_GB2312" w:eastAsia="仿宋_GB2312"/>
              </w:rPr>
              <w:t>30日</w:t>
            </w:r>
          </w:p>
          <w:p>
            <w:pPr>
              <w:pStyle w:val="null3"/>
            </w:pPr>
            <w:r>
              <w:rPr>
                <w:rFonts w:ascii="仿宋_GB2312" w:hAnsi="仿宋_GB2312" w:cs="仿宋_GB2312" w:eastAsia="仿宋_GB2312"/>
                <w:b/>
              </w:rPr>
              <w:t>三、活动目的</w:t>
            </w:r>
          </w:p>
          <w:p>
            <w:pPr>
              <w:pStyle w:val="null3"/>
            </w:pPr>
            <w:r>
              <w:rPr>
                <w:rFonts w:ascii="仿宋_GB2312" w:hAnsi="仿宋_GB2312" w:cs="仿宋_GB2312" w:eastAsia="仿宋_GB2312"/>
              </w:rPr>
              <w:t>通过线上、线下宣传形式，深入解读中央和省市</w:t>
            </w:r>
            <w:r>
              <w:rPr>
                <w:rFonts w:ascii="仿宋_GB2312" w:hAnsi="仿宋_GB2312" w:cs="仿宋_GB2312" w:eastAsia="仿宋_GB2312"/>
              </w:rPr>
              <w:t>“清朗”系列整治行动部署要求，普及《网络信息内容生态治理规定》《未成年人网络保护条例》等法律法规，加强未成年人网络保护宣传教育，动员社会各界广泛参与网络生态治理，宣传好展示好</w:t>
            </w:r>
            <w:r>
              <w:rPr>
                <w:rFonts w:ascii="仿宋_GB2312" w:hAnsi="仿宋_GB2312" w:cs="仿宋_GB2312" w:eastAsia="仿宋_GB2312"/>
              </w:rPr>
              <w:t>全市</w:t>
            </w:r>
            <w:r>
              <w:rPr>
                <w:rFonts w:ascii="仿宋_GB2312" w:hAnsi="仿宋_GB2312" w:cs="仿宋_GB2312" w:eastAsia="仿宋_GB2312"/>
              </w:rPr>
              <w:t>网络治理工作成绩亮点。</w:t>
            </w:r>
          </w:p>
          <w:p>
            <w:pPr>
              <w:pStyle w:val="null3"/>
            </w:pPr>
            <w:r>
              <w:rPr>
                <w:rFonts w:ascii="仿宋_GB2312" w:hAnsi="仿宋_GB2312" w:cs="仿宋_GB2312" w:eastAsia="仿宋_GB2312"/>
                <w:b/>
              </w:rPr>
              <w:t>四、活动内容</w:t>
            </w:r>
          </w:p>
          <w:p>
            <w:pPr>
              <w:pStyle w:val="null3"/>
            </w:pPr>
            <w:r>
              <w:rPr>
                <w:rFonts w:ascii="仿宋_GB2312" w:hAnsi="仿宋_GB2312" w:cs="仿宋_GB2312" w:eastAsia="仿宋_GB2312"/>
                <w:b/>
              </w:rPr>
              <w:t>（一）开设网络专题</w:t>
            </w:r>
          </w:p>
          <w:p>
            <w:pPr>
              <w:pStyle w:val="null3"/>
            </w:pPr>
            <w:r>
              <w:rPr>
                <w:rFonts w:ascii="仿宋_GB2312" w:hAnsi="仿宋_GB2312" w:cs="仿宋_GB2312" w:eastAsia="仿宋_GB2312"/>
              </w:rPr>
              <w:t>在主流网络媒体上开设</w:t>
            </w:r>
            <w:r>
              <w:rPr>
                <w:rFonts w:ascii="仿宋_GB2312" w:hAnsi="仿宋_GB2312" w:cs="仿宋_GB2312" w:eastAsia="仿宋_GB2312"/>
              </w:rPr>
              <w:t>“清朗西安”网络专题，持续发布推送“清朗”专项行动相关的图文稿件、短视频、网络评论等融媒体作品，实现对活动全程的全景式、常态化宣传报道。</w:t>
            </w:r>
          </w:p>
          <w:p>
            <w:pPr>
              <w:pStyle w:val="null3"/>
            </w:pPr>
            <w:r>
              <w:rPr>
                <w:rFonts w:ascii="仿宋_GB2312" w:hAnsi="仿宋_GB2312" w:cs="仿宋_GB2312" w:eastAsia="仿宋_GB2312"/>
                <w:b/>
              </w:rPr>
              <w:t>（二）制作融媒体产品</w:t>
            </w:r>
          </w:p>
          <w:p>
            <w:pPr>
              <w:pStyle w:val="null3"/>
            </w:pPr>
            <w:r>
              <w:rPr>
                <w:rFonts w:ascii="仿宋_GB2312" w:hAnsi="仿宋_GB2312" w:cs="仿宋_GB2312" w:eastAsia="仿宋_GB2312"/>
              </w:rPr>
              <w:t>围绕</w:t>
            </w:r>
            <w:r>
              <w:rPr>
                <w:rFonts w:ascii="仿宋_GB2312" w:hAnsi="仿宋_GB2312" w:cs="仿宋_GB2312" w:eastAsia="仿宋_GB2312"/>
              </w:rPr>
              <w:t>“清朗”行动核心内容，结合西安本地实际，策划制作系列融媒体产品，兼顾专业性与趣味性、知识性与传播性，满足不同网民的接收习惯，提升宣传效果。</w:t>
            </w:r>
          </w:p>
          <w:p>
            <w:pPr>
              <w:pStyle w:val="null3"/>
            </w:pPr>
            <w:r>
              <w:rPr>
                <w:rFonts w:ascii="仿宋_GB2312" w:hAnsi="仿宋_GB2312" w:cs="仿宋_GB2312" w:eastAsia="仿宋_GB2312"/>
                <w:b/>
              </w:rPr>
              <w:t>1.图文产品</w:t>
            </w:r>
          </w:p>
          <w:p>
            <w:pPr>
              <w:pStyle w:val="null3"/>
            </w:pPr>
            <w:r>
              <w:rPr>
                <w:rFonts w:ascii="仿宋_GB2312" w:hAnsi="仿宋_GB2312" w:cs="仿宋_GB2312" w:eastAsia="仿宋_GB2312"/>
              </w:rPr>
              <w:t>围绕行业主管部门通报的典型案例，撰写案例解读、网络评论，通过</w:t>
            </w:r>
            <w:r>
              <w:rPr>
                <w:rFonts w:ascii="仿宋_GB2312" w:hAnsi="仿宋_GB2312" w:cs="仿宋_GB2312" w:eastAsia="仿宋_GB2312"/>
              </w:rPr>
              <w:t>“以案释法”的形式加强警示教育；配合线下活动编发宣传稿件。</w:t>
            </w:r>
          </w:p>
          <w:p>
            <w:pPr>
              <w:pStyle w:val="null3"/>
            </w:pPr>
            <w:r>
              <w:rPr>
                <w:rFonts w:ascii="仿宋_GB2312" w:hAnsi="仿宋_GB2312" w:cs="仿宋_GB2312" w:eastAsia="仿宋_GB2312"/>
                <w:b/>
              </w:rPr>
              <w:t>2.长图海报</w:t>
            </w:r>
          </w:p>
          <w:p>
            <w:pPr>
              <w:pStyle w:val="null3"/>
            </w:pPr>
            <w:r>
              <w:rPr>
                <w:rFonts w:ascii="仿宋_GB2312" w:hAnsi="仿宋_GB2312" w:cs="仿宋_GB2312" w:eastAsia="仿宋_GB2312"/>
              </w:rPr>
              <w:t>结合历次</w:t>
            </w:r>
            <w:r>
              <w:rPr>
                <w:rFonts w:ascii="仿宋_GB2312" w:hAnsi="仿宋_GB2312" w:cs="仿宋_GB2312" w:eastAsia="仿宋_GB2312"/>
              </w:rPr>
              <w:t>“清朗”专项行动，制作海报长图，直观呈现整治重点，提高专项行动知晓率。</w:t>
            </w:r>
          </w:p>
          <w:p>
            <w:pPr>
              <w:pStyle w:val="null3"/>
            </w:pPr>
            <w:r>
              <w:rPr>
                <w:rFonts w:ascii="仿宋_GB2312" w:hAnsi="仿宋_GB2312" w:cs="仿宋_GB2312" w:eastAsia="仿宋_GB2312"/>
                <w:b/>
              </w:rPr>
              <w:t>3.短视频</w:t>
            </w:r>
          </w:p>
          <w:p>
            <w:pPr>
              <w:pStyle w:val="null3"/>
            </w:pPr>
            <w:r>
              <w:rPr>
                <w:rFonts w:ascii="仿宋_GB2312" w:hAnsi="仿宋_GB2312" w:cs="仿宋_GB2312" w:eastAsia="仿宋_GB2312"/>
              </w:rPr>
              <w:t>配合线下活动拍摄制作活动快剪视频，扩大传播覆盖面。</w:t>
            </w:r>
          </w:p>
          <w:p>
            <w:pPr>
              <w:pStyle w:val="null3"/>
            </w:pPr>
            <w:r>
              <w:rPr>
                <w:rFonts w:ascii="仿宋_GB2312" w:hAnsi="仿宋_GB2312" w:cs="仿宋_GB2312" w:eastAsia="仿宋_GB2312"/>
                <w:b/>
              </w:rPr>
              <w:t>（三）开展线下活动</w:t>
            </w:r>
          </w:p>
          <w:p>
            <w:pPr>
              <w:pStyle w:val="null3"/>
            </w:pPr>
            <w:r>
              <w:rPr>
                <w:rFonts w:ascii="仿宋_GB2312" w:hAnsi="仿宋_GB2312" w:cs="仿宋_GB2312" w:eastAsia="仿宋_GB2312"/>
                <w:b/>
              </w:rPr>
              <w:t>1.未成年人网络保护主题教育活动</w:t>
            </w:r>
          </w:p>
          <w:p>
            <w:pPr>
              <w:pStyle w:val="null3"/>
            </w:pPr>
            <w:r>
              <w:rPr>
                <w:rFonts w:ascii="仿宋_GB2312" w:hAnsi="仿宋_GB2312" w:cs="仿宋_GB2312" w:eastAsia="仿宋_GB2312"/>
              </w:rPr>
              <w:t>面向青少年学生，邀请专家学者进行网络保护知识专题讲座，设置趣味答题、互动游戏等环节，帮助学生增强网络保护意识和能力。</w:t>
            </w:r>
          </w:p>
          <w:p>
            <w:pPr>
              <w:pStyle w:val="null3"/>
            </w:pPr>
            <w:r>
              <w:rPr>
                <w:rFonts w:ascii="仿宋_GB2312" w:hAnsi="仿宋_GB2312" w:cs="仿宋_GB2312" w:eastAsia="仿宋_GB2312"/>
                <w:b/>
              </w:rPr>
              <w:t>2.网络生态治理分享交流</w:t>
            </w:r>
          </w:p>
          <w:p>
            <w:pPr>
              <w:pStyle w:val="null3"/>
            </w:pPr>
            <w:r>
              <w:rPr>
                <w:rFonts w:ascii="仿宋_GB2312" w:hAnsi="仿宋_GB2312" w:cs="仿宋_GB2312" w:eastAsia="仿宋_GB2312"/>
              </w:rPr>
              <w:t>邀请主流网络媒体、网络大</w:t>
            </w:r>
            <w:r>
              <w:rPr>
                <w:rFonts w:ascii="仿宋_GB2312" w:hAnsi="仿宋_GB2312" w:cs="仿宋_GB2312" w:eastAsia="仿宋_GB2312"/>
              </w:rPr>
              <w:t>V、MCN机构代表、律师专家及网信工作代表开展交流</w:t>
            </w:r>
            <w:r>
              <w:rPr>
                <w:rFonts w:ascii="仿宋_GB2312" w:hAnsi="仿宋_GB2312" w:cs="仿宋_GB2312" w:eastAsia="仿宋_GB2312"/>
              </w:rPr>
              <w:t>活动</w:t>
            </w:r>
            <w:r>
              <w:rPr>
                <w:rFonts w:ascii="仿宋_GB2312" w:hAnsi="仿宋_GB2312" w:cs="仿宋_GB2312" w:eastAsia="仿宋_GB2312"/>
              </w:rPr>
              <w:t>，系统总结全年网络生态治理工作成效，分享网络治理的实践经验，凝聚行业共识。</w:t>
            </w:r>
          </w:p>
          <w:p>
            <w:pPr>
              <w:pStyle w:val="null3"/>
            </w:pPr>
            <w:r>
              <w:rPr>
                <w:rFonts w:ascii="仿宋_GB2312" w:hAnsi="仿宋_GB2312" w:cs="仿宋_GB2312" w:eastAsia="仿宋_GB2312"/>
                <w:b/>
              </w:rPr>
              <w:t>五、活动宣传</w:t>
            </w:r>
          </w:p>
          <w:p>
            <w:pPr>
              <w:pStyle w:val="null3"/>
            </w:pPr>
            <w:r>
              <w:rPr>
                <w:rFonts w:ascii="仿宋_GB2312" w:hAnsi="仿宋_GB2312" w:cs="仿宋_GB2312" w:eastAsia="仿宋_GB2312"/>
                <w:b/>
              </w:rPr>
              <w:t>通过</w:t>
            </w:r>
            <w:r>
              <w:rPr>
                <w:rFonts w:ascii="仿宋_GB2312" w:hAnsi="仿宋_GB2312" w:cs="仿宋_GB2312" w:eastAsia="仿宋_GB2312"/>
              </w:rPr>
              <w:t>全媒体传播矩阵</w:t>
            </w:r>
            <w:r>
              <w:rPr>
                <w:rFonts w:ascii="仿宋_GB2312" w:hAnsi="仿宋_GB2312" w:cs="仿宋_GB2312" w:eastAsia="仿宋_GB2312"/>
              </w:rPr>
              <w:t>，对活动进行</w:t>
            </w:r>
            <w:r>
              <w:rPr>
                <w:rFonts w:ascii="仿宋_GB2312" w:hAnsi="仿宋_GB2312" w:cs="仿宋_GB2312" w:eastAsia="仿宋_GB2312"/>
              </w:rPr>
              <w:t>全程宣传报道，进一步提升活动的影响力。</w:t>
            </w:r>
          </w:p>
          <w:p>
            <w:pPr>
              <w:pStyle w:val="null3"/>
            </w:pPr>
            <w:r>
              <w:rPr>
                <w:rFonts w:ascii="仿宋_GB2312" w:hAnsi="仿宋_GB2312" w:cs="仿宋_GB2312" w:eastAsia="仿宋_GB2312"/>
                <w:b/>
              </w:rPr>
              <w:t>六、活动说明</w:t>
            </w:r>
          </w:p>
          <w:tbl>
            <w:tblPr>
              <w:tblBorders>
                <w:top w:val="none" w:color="000000" w:sz="4"/>
                <w:left w:val="none" w:color="000000" w:sz="4"/>
                <w:bottom w:val="none" w:color="000000" w:sz="4"/>
                <w:right w:val="none" w:color="000000" w:sz="4"/>
                <w:insideH w:val="none"/>
                <w:insideV w:val="none"/>
              </w:tblBorders>
            </w:tblPr>
            <w:tblGrid>
              <w:gridCol w:w="367"/>
              <w:gridCol w:w="1375"/>
              <w:gridCol w:w="810"/>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1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具体内容</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专题搭建</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在网络媒体上开设线上专题</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宣传品</w:t>
                  </w:r>
                </w:p>
                <w:p>
                  <w:pPr>
                    <w:pStyle w:val="null3"/>
                    <w:jc w:val="center"/>
                  </w:pPr>
                  <w:r>
                    <w:rPr>
                      <w:rFonts w:ascii="仿宋_GB2312" w:hAnsi="仿宋_GB2312" w:cs="仿宋_GB2312" w:eastAsia="仿宋_GB2312"/>
                      <w:sz w:val="20"/>
                    </w:rPr>
                    <w:t>制作</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长图海报</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3张</w:t>
                  </w:r>
                </w:p>
              </w:tc>
            </w:tr>
            <w:tr>
              <w:tc>
                <w:tcPr>
                  <w:tcW w:type="dxa" w:w="367"/>
                  <w:vMerge/>
                  <w:tcBorders>
                    <w:top w:val="none" w:color="000000" w:sz="4"/>
                    <w:left w:val="single" w:color="000000" w:sz="4"/>
                    <w:bottom w:val="single" w:color="000000" w:sz="4"/>
                    <w:right w:val="single" w:color="000000" w:sz="4"/>
                  </w:tcBorders>
                </w:tcP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图文产品</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4篇</w:t>
                  </w:r>
                </w:p>
              </w:tc>
            </w:tr>
            <w:tr>
              <w:tc>
                <w:tcPr>
                  <w:tcW w:type="dxa" w:w="367"/>
                  <w:vMerge/>
                  <w:tcBorders>
                    <w:top w:val="none" w:color="000000" w:sz="4"/>
                    <w:left w:val="single" w:color="000000" w:sz="4"/>
                    <w:bottom w:val="single" w:color="000000" w:sz="4"/>
                    <w:right w:val="single" w:color="000000" w:sz="4"/>
                  </w:tcBorders>
                </w:tcP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短视频（</w:t>
                  </w:r>
                  <w:r>
                    <w:rPr>
                      <w:rFonts w:ascii="仿宋_GB2312" w:hAnsi="仿宋_GB2312" w:cs="仿宋_GB2312" w:eastAsia="仿宋_GB2312"/>
                      <w:sz w:val="20"/>
                    </w:rPr>
                    <w:t>2分钟）</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2部</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线下活动</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授课专家劳务费（</w:t>
                  </w:r>
                  <w:r>
                    <w:rPr>
                      <w:rFonts w:ascii="仿宋_GB2312" w:hAnsi="仿宋_GB2312" w:cs="仿宋_GB2312" w:eastAsia="仿宋_GB2312"/>
                      <w:sz w:val="20"/>
                    </w:rPr>
                    <w:t>2课时,含税）</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2人</w:t>
                  </w:r>
                </w:p>
              </w:tc>
            </w:tr>
            <w:tr>
              <w:tc>
                <w:tcPr>
                  <w:tcW w:type="dxa" w:w="367"/>
                  <w:vMerge/>
                  <w:tcBorders>
                    <w:top w:val="none" w:color="000000" w:sz="4"/>
                    <w:left w:val="single" w:color="000000" w:sz="4"/>
                    <w:bottom w:val="single" w:color="000000" w:sz="4"/>
                    <w:right w:val="single" w:color="000000" w:sz="4"/>
                  </w:tcBorders>
                </w:tcP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执行线下活动</w:t>
                  </w:r>
                  <w:r>
                    <w:rPr>
                      <w:rFonts w:ascii="仿宋_GB2312" w:hAnsi="仿宋_GB2312" w:cs="仿宋_GB2312" w:eastAsia="仿宋_GB2312"/>
                      <w:sz w:val="20"/>
                    </w:rPr>
                    <w:t>(包含场地租赁、舞台搭建、音响灯光配备、文案设计、主持人邀请、展板及宣传品)等</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2场</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宣传推广</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活动全程通过中省市主流网络媒体进行宣传报道</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合同签订之日起至2026年11月30日前完成整体项目。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进度款，完成专题搭建和1场线下活动后，收到供应商开具的等额合法有效的增值税正式发票之日起，达到付款条件起10个工作日内，支付合同总金额的30.0%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进度款，项目全部履约完成后，绩效目标已完成并出具验收报告，收到供应商开具的等额合法有效的增值税正式发票之日起，达到付款条件起30个工作日内，支付合同总金额的20.0%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②网络专题开设实施方案； ③融媒体产品制作方案； ④线下活动开展方案； ⑤活动宣传推广方案。 二、评审标准 上述五项评审内容中：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②进度计划安排； ③响应时效保障措施； ④安全保障措施； ⑤针对本项目提供应急预案（不限于技术故障、活动延期、人员变动、项目风险、极端天气等各类特殊情况）。 二、评审标准 上述五项评审内容中：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设备设施配备</w:t>
            </w:r>
          </w:p>
        </w:tc>
        <w:tc>
          <w:tcPr>
            <w:tcW w:type="dxa" w:w="2492"/>
          </w:tcPr>
          <w:p>
            <w:pPr>
              <w:pStyle w:val="null3"/>
            </w:pPr>
            <w:r>
              <w:rPr>
                <w:rFonts w:ascii="仿宋_GB2312" w:hAnsi="仿宋_GB2312" w:cs="仿宋_GB2312" w:eastAsia="仿宋_GB2312"/>
              </w:rPr>
              <w:t>一、评审内容 提供针对本项目实施过程中拟采用的设备设施。 二、评审标准 设备齐全完备、配置科学合理，完全满足活动全流程需求，证明材料详实充分，支撑性强，得4分； 设备配备基本合理，可满足活动核心及拓展需求，证明材料较为齐全，得3分； 设备配备满足基本活动需求，证明材料有缺失，得2分； 设备配备简略，无证明资料，得1分； 未提供设备设施，得0分。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①有专业的运营团队，团队人员数量、分工合理，岗位职责明确； ②人员管理制度。 二、评审标准 上述两项评审内容中： 人员配备齐全专业，且符合实际情况，组织结构清晰、方案详实，有针对性和可操作性，得5分； 人员配备方案完善，满足采购需求，得4分； 人员配备方案基本合理，涵盖上述维度，得3分； 人员配备方案一般，内容不细化，得2分； 人员岗位配置粗略，方案内容简单粗糙，无明显针对性，得1分； 未提供响应方案，得0分。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针对本项目提供详细的服务承诺，包括但不限于： ①制定完善的各项规章制度等内容;②针对本项目的服务质量保证承诺。 二、评审标准 上述两项评审内容中：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建议完全贴合项目实际需求，针对性极强，实施后能显著提升效率、降低成本得3分； 建议基本符合项目方向，对项目的改善作用有限得2分； 虽有建议，缺乏可行性与实操性得1分； 未提供建议得0分。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