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版本号：LHZBZC2026117G20260818001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长安区滦镇街道王寨小学运动场改造项目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LHZBZC2026117G</w:t>
      </w:r>
      <w:r>
        <w:br/>
      </w:r>
      <w:r>
        <w:br/>
      </w:r>
      <w:r>
        <w:br/>
      </w:r>
    </w:p>
    <w:p>
      <w:pPr>
        <w:pStyle w:val="null3"/>
        <w:jc w:val="center"/>
        <w:outlineLvl w:val="2"/>
      </w:pPr>
      <w:r>
        <w:rPr>
          <w:rFonts w:ascii="仿宋_GB2312" w:hAnsi="仿宋_GB2312" w:cs="仿宋_GB2312" w:eastAsia="仿宋_GB2312"/>
          <w:sz w:val="28"/>
          <w:b/>
        </w:rPr>
        <w:t>西安市长安区滦镇街道中心学校</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西安市长安区滦镇街道中心学校</w:t>
      </w:r>
      <w:r>
        <w:rPr>
          <w:rFonts w:ascii="仿宋_GB2312" w:hAnsi="仿宋_GB2312" w:cs="仿宋_GB2312" w:eastAsia="仿宋_GB2312"/>
        </w:rPr>
        <w:t>委托，拟对</w:t>
      </w:r>
      <w:r>
        <w:rPr>
          <w:rFonts w:ascii="仿宋_GB2312" w:hAnsi="仿宋_GB2312" w:cs="仿宋_GB2312" w:eastAsia="仿宋_GB2312"/>
        </w:rPr>
        <w:t>长安区滦镇街道王寨小学运动场改造项目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LHZBZC2026117G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长安区滦镇街道王寨小学运动场改造项目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项目拟改造操场规模约3776 m2，其中北院教学区活动场地占地面积: 1296 m，南侧体育场占地面积:2480 m。主要涉及学校操场及其附属活动区域，包含操场、篮球场、排球场、乒乓球场、升旗台及室外活动区照明、绿化工程、操场排水工程。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采购包1（长安区滦镇街道王寨小学运动场改造项目）：属于专门面向中小企业采购。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1、供应商具有独立承担民事责任的能力：提供合格有效的法人或者其他组织的营业执照、事业单位法人证等证明文件或自然人的身份证明；</w:t>
      </w:r>
    </w:p>
    <w:p>
      <w:pPr>
        <w:pStyle w:val="null3"/>
      </w:pPr>
      <w:r>
        <w:rPr>
          <w:rFonts w:ascii="仿宋_GB2312" w:hAnsi="仿宋_GB2312" w:cs="仿宋_GB2312" w:eastAsia="仿宋_GB2312"/>
        </w:rPr>
        <w:t>2、法定代表人身份证明或法定代表人授权书：供应商应授权合法的人员参加磋商全过程，其中法定代表人直接参加磋商的，须出具法定代表人身份证明、法人身份证复印件；法定代表人授权代表参加磋商的，须出具法定代表人授权书、授权代表身份证复印件；</w:t>
      </w:r>
    </w:p>
    <w:p>
      <w:pPr>
        <w:pStyle w:val="null3"/>
      </w:pPr>
      <w:r>
        <w:rPr>
          <w:rFonts w:ascii="仿宋_GB2312" w:hAnsi="仿宋_GB2312" w:cs="仿宋_GB2312" w:eastAsia="仿宋_GB2312"/>
        </w:rPr>
        <w:t>3、企业资质要求：投标人须具备建设行政主管部门颁发的建筑工程施工总承包三级(含三级）以上资质，并具备有效的安全生产许可证；</w:t>
      </w:r>
    </w:p>
    <w:p>
      <w:pPr>
        <w:pStyle w:val="null3"/>
      </w:pPr>
      <w:r>
        <w:rPr>
          <w:rFonts w:ascii="仿宋_GB2312" w:hAnsi="仿宋_GB2312" w:cs="仿宋_GB2312" w:eastAsia="仿宋_GB2312"/>
        </w:rPr>
        <w:t>4、拟派项目经理：拟派项目经理须具备建筑工程专业二级（含二级）以上注册建造师证书及有效的安全生产考核合格证书（建安B证），在本单位注册且无在建工程（提供无在建项目承诺书）；</w:t>
      </w:r>
    </w:p>
    <w:p>
      <w:pPr>
        <w:pStyle w:val="null3"/>
      </w:pPr>
      <w:r>
        <w:rPr>
          <w:rFonts w:ascii="仿宋_GB2312" w:hAnsi="仿宋_GB2312" w:cs="仿宋_GB2312" w:eastAsia="仿宋_GB2312"/>
        </w:rPr>
        <w:t>5、财务要求：提供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6、税收缴纳证明：提供磋商截止日前六个月内已缴纳的至少一个月的纳税证明或完税证明，依法免税的单位应提供相关证明材料；</w:t>
      </w:r>
    </w:p>
    <w:p>
      <w:pPr>
        <w:pStyle w:val="null3"/>
      </w:pPr>
      <w:r>
        <w:rPr>
          <w:rFonts w:ascii="仿宋_GB2312" w:hAnsi="仿宋_GB2312" w:cs="仿宋_GB2312" w:eastAsia="仿宋_GB2312"/>
        </w:rPr>
        <w:t>7、社会保障资金缴纳证明：提供磋商截止日前六个月内已缴存的至少一个月的社会保障资金缴存单据或社保机构开具的社会保险参保缴费情况证明，依法不需要缴纳社会保障资金的单位应提供相关证明材料；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8、无重大违法记录声明：提供参加政府采购活动前三年内在经营活动中没有重大违法记录的书面声明；</w:t>
      </w:r>
    </w:p>
    <w:p>
      <w:pPr>
        <w:pStyle w:val="null3"/>
      </w:pPr>
      <w:r>
        <w:rPr>
          <w:rFonts w:ascii="仿宋_GB2312" w:hAnsi="仿宋_GB2312" w:cs="仿宋_GB2312" w:eastAsia="仿宋_GB2312"/>
        </w:rPr>
        <w:t>9、中小企声明函：项目为专门面向中小企业项目：供应商须为中型企业或者小型、微型企业或监狱企业或残疾人福利性单位；</w:t>
      </w:r>
    </w:p>
    <w:p>
      <w:pPr>
        <w:pStyle w:val="null3"/>
      </w:pPr>
      <w:r>
        <w:rPr>
          <w:rFonts w:ascii="仿宋_GB2312" w:hAnsi="仿宋_GB2312" w:cs="仿宋_GB2312" w:eastAsia="仿宋_GB2312"/>
        </w:rPr>
        <w:t>10、信誉记录：供应商不得为“信用中国”网站（www.cr editchina.gov.cn）中被列入“重大税收 违法失信主体 ”的供应商,不得为“中国执行信息公开网 ”网站（zxgk.court.gov.c n/）中被列入“失信被执行人 ”的供应商；不得为中国政府采购网（www.ccgp.g ov.cn）政府采购“严重违法失信行为记录 名单 ”中被财政部门禁止参加政府采购活动的供应商（信用记录在资格审查阶段通过互联网或者相关系统查询，不强制要求供应商提供查询截图， 以开标当日网上查询结果为评审依据）；</w:t>
      </w:r>
    </w:p>
    <w:p>
      <w:pPr>
        <w:pStyle w:val="null3"/>
      </w:pPr>
      <w:r>
        <w:rPr>
          <w:rFonts w:ascii="仿宋_GB2312" w:hAnsi="仿宋_GB2312" w:cs="仿宋_GB2312" w:eastAsia="仿宋_GB2312"/>
        </w:rPr>
        <w:t>11、非联合体投标：本项目不接受联合体磋商。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西安市长安区滦镇街道中心学校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陕西省西安市长安区滦镇南街公路局小区东侧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029-85864345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黄沛 高禧 吴元帅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采购包1：1,471,633.58元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代理服务费收费标准：代理服务费以工程项目中标价为基准，根据国家计委关于印发《招标代理服务收费管理暂行办法的通知》（计价格[2002]1980号）计费标准收取下浮20%；</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西安市长安区滦镇街道中心学校</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西安市长安区滦镇街道中心学校</w:t>
      </w:r>
      <w:r>
        <w:rPr>
          <w:rFonts w:ascii="仿宋_GB2312" w:hAnsi="仿宋_GB2312" w:cs="仿宋_GB2312" w:eastAsia="仿宋_GB2312"/>
        </w:rPr>
        <w:t>负责解释。除上述磋商文件内容，其他内容由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西安市长安区滦镇街道中心学校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3.如采用供应商所不拥有的知识产权，则在报价中必须包括合法使用该知识产权的相关费用。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西安市长安区滦镇街道中心学校</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1,471,633.58</w:t>
      </w:r>
    </w:p>
    <w:p>
      <w:pPr>
        <w:pStyle w:val="null3"/>
      </w:pPr>
      <w:r>
        <w:rPr>
          <w:rFonts w:ascii="仿宋_GB2312" w:hAnsi="仿宋_GB2312" w:cs="仿宋_GB2312" w:eastAsia="仿宋_GB2312"/>
        </w:rPr>
        <w:t>采购包最高限价（元）: 1,471,633.58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1,471,633.58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工程内容：</w:t>
            </w:r>
            <w:r>
              <w:rPr>
                <w:rFonts w:ascii="仿宋_GB2312" w:hAnsi="仿宋_GB2312" w:cs="仿宋_GB2312" w:eastAsia="仿宋_GB2312"/>
                <w:sz w:val="21"/>
              </w:rPr>
              <w:t>项目拟改造操场规模约</w:t>
            </w:r>
            <w:r>
              <w:rPr>
                <w:rFonts w:ascii="仿宋_GB2312" w:hAnsi="仿宋_GB2312" w:cs="仿宋_GB2312" w:eastAsia="仿宋_GB2312"/>
                <w:sz w:val="21"/>
              </w:rPr>
              <w:t>3776 m2，其中北院教学区活动场地占地面积: 1296 m，南侧体育场占地面积:2480 m。主要涉及学校操场及其附属活动区域，包含操场、篮球场、排球场、乒乓球场、升旗台及室外活动区照明、绿化工程、操场排水工程。</w:t>
            </w:r>
          </w:p>
          <w:p>
            <w:pPr>
              <w:pStyle w:val="null3"/>
            </w:pPr>
            <w:r>
              <w:rPr>
                <w:rFonts w:ascii="仿宋_GB2312" w:hAnsi="仿宋_GB2312" w:cs="仿宋_GB2312" w:eastAsia="仿宋_GB2312"/>
                <w:sz w:val="21"/>
              </w:rPr>
              <w:t>（</w:t>
            </w:r>
            <w:r>
              <w:rPr>
                <w:rFonts w:ascii="仿宋_GB2312" w:hAnsi="仿宋_GB2312" w:cs="仿宋_GB2312" w:eastAsia="仿宋_GB2312"/>
                <w:sz w:val="21"/>
              </w:rPr>
              <w:t>2）工程地点：</w:t>
            </w:r>
            <w:r>
              <w:rPr>
                <w:rFonts w:ascii="仿宋_GB2312" w:hAnsi="仿宋_GB2312" w:cs="仿宋_GB2312" w:eastAsia="仿宋_GB2312"/>
                <w:sz w:val="21"/>
              </w:rPr>
              <w:t>西安市</w:t>
            </w:r>
            <w:r>
              <w:rPr>
                <w:rFonts w:ascii="仿宋_GB2312" w:hAnsi="仿宋_GB2312" w:cs="仿宋_GB2312" w:eastAsia="仿宋_GB2312"/>
                <w:sz w:val="21"/>
              </w:rPr>
              <w:t>长安区滦镇街道王寨小学</w:t>
            </w:r>
            <w:r>
              <w:rPr>
                <w:rFonts w:ascii="仿宋_GB2312" w:hAnsi="仿宋_GB2312" w:cs="仿宋_GB2312" w:eastAsia="仿宋_GB2312"/>
                <w:sz w:val="21"/>
              </w:rPr>
              <w:t>内</w:t>
            </w:r>
          </w:p>
          <w:p>
            <w:pPr>
              <w:pStyle w:val="null3"/>
            </w:pPr>
            <w:r>
              <w:rPr>
                <w:rFonts w:ascii="仿宋_GB2312" w:hAnsi="仿宋_GB2312" w:cs="仿宋_GB2312" w:eastAsia="仿宋_GB2312"/>
                <w:sz w:val="21"/>
              </w:rPr>
              <w:t>（</w:t>
            </w:r>
            <w:r>
              <w:rPr>
                <w:rFonts w:ascii="仿宋_GB2312" w:hAnsi="仿宋_GB2312" w:cs="仿宋_GB2312" w:eastAsia="仿宋_GB2312"/>
                <w:sz w:val="21"/>
              </w:rPr>
              <w:t>3）计划工期：自项目开工</w:t>
            </w:r>
            <w:r>
              <w:rPr>
                <w:rFonts w:ascii="仿宋_GB2312" w:hAnsi="仿宋_GB2312" w:cs="仿宋_GB2312" w:eastAsia="仿宋_GB2312"/>
                <w:sz w:val="21"/>
              </w:rPr>
              <w:t>后</w:t>
            </w:r>
            <w:r>
              <w:rPr>
                <w:rFonts w:ascii="仿宋_GB2312" w:hAnsi="仿宋_GB2312" w:cs="仿宋_GB2312" w:eastAsia="仿宋_GB2312"/>
                <w:sz w:val="21"/>
              </w:rPr>
              <w:t>60</w:t>
            </w:r>
            <w:r>
              <w:rPr>
                <w:rFonts w:ascii="仿宋_GB2312" w:hAnsi="仿宋_GB2312" w:cs="仿宋_GB2312" w:eastAsia="仿宋_GB2312"/>
                <w:sz w:val="21"/>
              </w:rPr>
              <w:t>日历天</w:t>
            </w:r>
          </w:p>
          <w:p>
            <w:pPr>
              <w:pStyle w:val="null3"/>
            </w:pPr>
            <w:r>
              <w:rPr>
                <w:rFonts w:ascii="仿宋_GB2312" w:hAnsi="仿宋_GB2312" w:cs="仿宋_GB2312" w:eastAsia="仿宋_GB2312"/>
                <w:sz w:val="21"/>
              </w:rPr>
              <w:t>（</w:t>
            </w:r>
            <w:r>
              <w:rPr>
                <w:rFonts w:ascii="仿宋_GB2312" w:hAnsi="仿宋_GB2312" w:cs="仿宋_GB2312" w:eastAsia="仿宋_GB2312"/>
                <w:sz w:val="21"/>
              </w:rPr>
              <w:t>4）工程质量：符合国家现行有关施工质量验收规范合格标准。</w:t>
            </w:r>
          </w:p>
          <w:p>
            <w:pPr>
              <w:pStyle w:val="null3"/>
            </w:pPr>
            <w:r>
              <w:rPr>
                <w:rFonts w:ascii="仿宋_GB2312" w:hAnsi="仿宋_GB2312" w:cs="仿宋_GB2312" w:eastAsia="仿宋_GB2312"/>
                <w:sz w:val="21"/>
              </w:rPr>
              <w:t>（</w:t>
            </w:r>
            <w:r>
              <w:rPr>
                <w:rFonts w:ascii="仿宋_GB2312" w:hAnsi="仿宋_GB2312" w:cs="仿宋_GB2312" w:eastAsia="仿宋_GB2312"/>
                <w:sz w:val="21"/>
              </w:rPr>
              <w:t>5）具体内容详见电子招标书及工程量清单。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 3、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三部门联合发布关于促进残疾人就业政府采购政策的通知》（财库〔2017〕141号）；5、《财政部发展改革委生态环境部市场监管总局关于调整优化节能产品、环境标志产品政府采购执行机制的通知》（财库〔2019〕9号）；6、关于印发环境标志产品政府采购品目清单的通知（财库〔2019〕18号）；7、《关于印发节能产品政府采购品目清单的通知》（财库〔2019〕19号）；8、《财政部、农业农村部、国家乡村振兴局关于运用政府采购政策支持乡村产业振兴的通知》（财库〔2021〕19号）；9、《陕西省中小企业政府采购信用融资办法》（陕财办采〔2018〕23号）、陕西省财政厅、中国人民银行西安分行关于深入推进政府采购信用融资业务的通知（陕财办采〔2023〕5号）；10、《关于政府采购支持绿色建材促进建筑品质提升试点工作的通知》（财库〔2020〕31号）；11、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资格证明文件（王寨）.docx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资格证明文件（王寨）.docx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资格证明文件（王寨）.docx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提供合格有效的法人或者其他组织的营业执照、事业单位法人证等证明文件或自然人的身份证明；</w:t>
            </w:r>
          </w:p>
        </w:tc>
        <w:tc>
          <w:tcPr>
            <w:tcW w:type="dxa" w:w="1661"/>
          </w:tcPr>
          <w:p>
            <w:pPr>
              <w:pStyle w:val="null3"/>
            </w:pPr>
            <w:r>
              <w:rPr>
                <w:rFonts w:ascii="仿宋_GB2312" w:hAnsi="仿宋_GB2312" w:cs="仿宋_GB2312" w:eastAsia="仿宋_GB2312"/>
              </w:rPr>
              <w:t>资格证明文件（王寨）.docx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法人身份证复印件；法定代表人授权代表参加磋商的，须出具法定代表人授权书、授权代表身份证复印件；</w:t>
            </w:r>
          </w:p>
        </w:tc>
        <w:tc>
          <w:tcPr>
            <w:tcW w:type="dxa" w:w="1661"/>
          </w:tcPr>
          <w:p>
            <w:pPr>
              <w:pStyle w:val="null3"/>
            </w:pPr>
            <w:r>
              <w:rPr>
                <w:rFonts w:ascii="仿宋_GB2312" w:hAnsi="仿宋_GB2312" w:cs="仿宋_GB2312" w:eastAsia="仿宋_GB2312"/>
              </w:rPr>
              <w:t>资格证明文件（王寨）.docx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投标人须具备建设行政主管部门颁发的建筑工程施工总承包三级(含三级）以上资质，并具备有效的安全生产许可证；</w:t>
            </w:r>
          </w:p>
        </w:tc>
        <w:tc>
          <w:tcPr>
            <w:tcW w:type="dxa" w:w="1661"/>
          </w:tcPr>
          <w:p>
            <w:pPr>
              <w:pStyle w:val="null3"/>
            </w:pPr>
            <w:r>
              <w:rPr>
                <w:rFonts w:ascii="仿宋_GB2312" w:hAnsi="仿宋_GB2312" w:cs="仿宋_GB2312" w:eastAsia="仿宋_GB2312"/>
              </w:rPr>
              <w:t>资格证明文件（王寨）.docx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拟派项目经理须具备建筑工程专业二级（含二级）以上注册建造师证书及有效的安全生产考核合格证书（建安B证），在本单位注册且无在建工程（提供无在建项目承诺书）；</w:t>
            </w:r>
          </w:p>
        </w:tc>
        <w:tc>
          <w:tcPr>
            <w:tcW w:type="dxa" w:w="1661"/>
          </w:tcPr>
          <w:p>
            <w:pPr>
              <w:pStyle w:val="null3"/>
            </w:pPr>
            <w:r>
              <w:rPr>
                <w:rFonts w:ascii="仿宋_GB2312" w:hAnsi="仿宋_GB2312" w:cs="仿宋_GB2312" w:eastAsia="仿宋_GB2312"/>
              </w:rPr>
              <w:t>资格证明文件（王寨）.docx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资格证明文件（王寨）.docx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资格证明文件（王寨）.docx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资格证明文件（王寨）.docx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资格证明文件（王寨）.docx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中小企声明函</w:t>
            </w:r>
          </w:p>
        </w:tc>
        <w:tc>
          <w:tcPr>
            <w:tcW w:type="dxa" w:w="3322"/>
          </w:tcPr>
          <w:p>
            <w:pPr>
              <w:pStyle w:val="null3"/>
            </w:pPr>
            <w:r>
              <w:rPr>
                <w:rFonts w:ascii="仿宋_GB2312" w:hAnsi="仿宋_GB2312" w:cs="仿宋_GB2312" w:eastAsia="仿宋_GB2312"/>
              </w:rPr>
              <w:t>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资格证明文件（王寨）.docx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信誉记录</w:t>
            </w:r>
          </w:p>
        </w:tc>
        <w:tc>
          <w:tcPr>
            <w:tcW w:type="dxa" w:w="3322"/>
          </w:tcPr>
          <w:p>
            <w:pPr>
              <w:pStyle w:val="null3"/>
            </w:pPr>
            <w:r>
              <w:rPr>
                <w:rFonts w:ascii="仿宋_GB2312" w:hAnsi="仿宋_GB2312" w:cs="仿宋_GB2312" w:eastAsia="仿宋_GB2312"/>
              </w:rPr>
              <w:t>供应商不得为“信用中国”网站（www.cr editchina.gov.cn）中被列入“重大税收 违法失信主体 ”的供应商,不得为“中国执行信息公开网 ”网站（zxgk.court.gov.c n/）中被列入“失信被执行人 ”的供应商；不得为中国政府采购网（www.ccgp.g ov.cn）政府采购“严重违法失信行为记录 名单 ”中被财政部门禁止参加政府采购活动的供应商（信用记录在资格审查阶段通过互联网或者相关系统查询，不强制要求供应商提供查询截图， 以开标当日网上查询结果为评审依据）；</w:t>
            </w:r>
          </w:p>
        </w:tc>
        <w:tc>
          <w:tcPr>
            <w:tcW w:type="dxa" w:w="1661"/>
          </w:tcPr>
          <w:p>
            <w:pPr>
              <w:pStyle w:val="null3"/>
            </w:pPr>
            <w:r>
              <w:rPr>
                <w:rFonts w:ascii="仿宋_GB2312" w:hAnsi="仿宋_GB2312" w:cs="仿宋_GB2312" w:eastAsia="仿宋_GB2312"/>
              </w:rPr>
              <w:t>资格证明文件（王寨）.docx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资格证明文件（王寨）.docx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关键内容符合磋商文件要求，不得漏盖漏签</w:t>
            </w:r>
          </w:p>
        </w:tc>
        <w:tc>
          <w:tcPr>
            <w:tcW w:type="dxa" w:w="1661"/>
          </w:tcPr>
          <w:p>
            <w:pPr>
              <w:pStyle w:val="null3"/>
            </w:pPr>
            <w:r>
              <w:rPr>
                <w:rFonts w:ascii="仿宋_GB2312" w:hAnsi="仿宋_GB2312" w:cs="仿宋_GB2312" w:eastAsia="仿宋_GB2312"/>
              </w:rPr>
              <w:t>响应文件封面 资格证明文件（王寨）.docx 已标价工程量清单 中小企业声明函 残疾人福利性单位声明函 报价函 标的清单 技术响应文件（王寨）.docx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首次报价唯一且不得高于预算金额（最高限价）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根据供应商提供的①施工部署；②技术难点、应对措施；③施工流程图或工艺流程； 2.评审标准： ①完整性：内容详细全面，对本项目了解透彻； ②可实施性：切合本项目实际情况，方案全面、施工步骤清晰、合理； ③针对性：方案能够紧扣项目实际情况，内容科学合理。 3.赋分标准： ①施工部署：每完全满足一项评审标准得1分，满分3分； ②技术难点、应对措施：每完全满足一项评审标准得1分，满分3分； ③施工流程图或工艺流程：每完全满足一项评审标准得1分，满分3分； 以上内容每缺一项或未提供得0分。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技术响应文件（王寨）.docx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供应商提供针对本项目实际需求编制的工程质量的技术组织措施含①质量目标；②质量管理体系完善度；③质量管理措施）。 2.评审标准： ①完整性：内容详细全面，对本项目了解透彻； ②可实施性：切合本项目实际情况，措施全面、清晰、合理； ③针对性：方案能够紧扣项目实际情况，内容科学合理。 3.赋分标准： ①质量目标：每完全满足一项评审标准得1分，满分3分； ②质量管理体系完善度：每完全满足一项评审标准得1分，满分3分； ③质量管理措施：每完全满足一项评审标准得1分，满分3分。 以上内容每缺一项或未提供得0分。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技术响应文件（王寨）.docx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确保安全文明施工的技术组织措施及环境保护措施（含治污减霾方案）</w:t>
            </w:r>
          </w:p>
        </w:tc>
        <w:tc>
          <w:tcPr>
            <w:tcW w:type="dxa" w:w="2492"/>
          </w:tcPr>
          <w:p>
            <w:pPr>
              <w:pStyle w:val="null3"/>
            </w:pPr>
            <w:r>
              <w:rPr>
                <w:rFonts w:ascii="仿宋_GB2312" w:hAnsi="仿宋_GB2312" w:cs="仿宋_GB2312" w:eastAsia="仿宋_GB2312"/>
              </w:rPr>
              <w:t>1.评审内容 确保安全文明施工的技术组织措施及环境保护措施（含治污减霾方案）含①安全文明目标及环境保护措施（措施包含场地整洁、噪音控制、扬尘治理）；②安全体系健全度；③应急预案可行性（涵盖常见安全事故场景）。 2.评审标准： ①完整性：内容详细全面，对本项目了解透彻； ②可实施性：切合本项目实际情况，措施全面、清晰、合理； ③针对性：方案能够紧扣项目实际情况，内容科学合理。 3.赋分标准： ①安全目标及文明施工措施：每完全满足一项评审标准得1分，满分3分； ②安全体系健全度：每完全满足一项评审标准得1分，满分3分； ③应急预案可行性：每完全满足一项评审标准得1分，满分3分。 以上内容每缺一项或未提供得0分。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技术响应文件（王寨）.docx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供应商提供针对本项目实际需求编制的工期的技术组织措施含①工期计划；②关键节点工期分析；③延误工期补救措施。 2.评审标准： ①完整性：内容详细全面，对本项目了解透彻； ②可实施性：切合本项目实际情况，措施全面、清晰、合理； ③针对性：方案能够紧扣项目实际情况，内容科学合理。 3.赋分标准： ①工期计划：每完全满足一项评审标准得1分，满分3分； ②关键节点工期分析：每完全满足一项评审标准得1分，满分3分； ③延误工期补救措施：每完全满足一项评审标准得1分，满分3分。 以上内容每缺一项或未提供得0分。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技术响应文件（王寨）.docx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1.评审内容 根据供应商投入的施工机械配备和材料投入计划：①施工机械配备；②材料投入计划（主要材料信息（名称、规格、数量等）与工程进度匹配）； 2.评审标准： ①齐全程度：齐全详细，能完全满足招标文件要求； ②实用性：质量有保障、使用率高、安全性能强； ③针对性：能紧扣项目实际情况，配置合理科学； 3.赋分标准： ①施工机械配备：每完全满足一项评审标准得1分，满分3分； ②材料投入计划：每完全满足一项评审标准得1分，满分3分； 以上内容每缺一项或未提供得0分。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技术响应文件（王寨）.docx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1.评审内容 ①项目组织管理机构②人员配备情况（针对本项目提供项目组人员配置清单及人员资料） 2.评审标准： ①齐全程度：齐全详细，能完全满足招标文件要求； ②实用性：质量有保障、使用率高、安全性能强； ③针对性：能紧扣项目实际情况，配置合理科学； 3.赋分标准： ①项目组织管理机构：每完全满足一项评审标准得1分，满分3分； ①人员配备情况：每完全满足一项评审标准得1分，满分3分； 以上内容每缺一项或未提供得0分。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技术响应文件（王寨）.docx</w:t>
            </w:r>
          </w:p>
        </w:tc>
      </w:tr>
      <w:tr>
        <w:tc>
          <w:tcPr>
            <w:tcW w:type="dxa" w:w="831"/>
            <w:vMerge/>
          </w:tcPr>
          <w:p/>
        </w:tc>
        <w:tc>
          <w:tcPr>
            <w:tcW w:type="dxa" w:w="1661"/>
          </w:tcPr>
          <w:p>
            <w:pPr>
              <w:pStyle w:val="null3"/>
            </w:pPr>
            <w:r>
              <w:rPr>
                <w:rFonts w:ascii="仿宋_GB2312" w:hAnsi="仿宋_GB2312" w:cs="仿宋_GB2312" w:eastAsia="仿宋_GB2312"/>
              </w:rPr>
              <w:t>项目完工后的维修服务及保修承诺</w:t>
            </w:r>
          </w:p>
        </w:tc>
        <w:tc>
          <w:tcPr>
            <w:tcW w:type="dxa" w:w="2492"/>
          </w:tcPr>
          <w:p>
            <w:pPr>
              <w:pStyle w:val="null3"/>
            </w:pPr>
            <w:r>
              <w:rPr>
                <w:rFonts w:ascii="仿宋_GB2312" w:hAnsi="仿宋_GB2312" w:cs="仿宋_GB2312" w:eastAsia="仿宋_GB2312"/>
              </w:rPr>
              <w:t>1.评审内容 根据供应商维修及保修承诺。 2.评审标准： ①可实施性：切合本项目实际情况，方案全面、实施步骤清晰、合理； ②针对性：方案能够紧扣项目实际情况，内容科学合理； ③合理性：承诺合理，切合实际，保修方案完善； 3.赋分标准： 每完全满足一项评审标准得3分，满分9分。 以上内容每缺一项或未提供得0分。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技术响应文件（王寨）.docx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1.评审内容 根据供应商提供的：新技术、新产品、新工艺、新材料应用。 2.评审标准： ①可实施性：切合本项目实际情况，方案全面、实施步骤清晰、合理； ②针对性：方案能够紧扣项目实际情况，内容科学合理； 3.赋分标准： 每完全满足一项评审标准得2分，满分4分。 以上内容每缺一项或未提供得0分。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技术响应文件（王寨）.docx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供应商提供2021年1月1日至今类似项目（房屋建筑工程）施工业绩 ，每提供一个有效业绩得3分，最高得9分。（业绩以合同复印件或扫描件为准，时间以合同签订时间为准）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技术响应文件（王寨）.docx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1.经初审合格的磋商响应文件，其磋商报价为有效磋商报价，并对有效磋商报价进行政策性扣减，并依据扣减后的价格（评审价格）进行价格评审。 2.满足磋商文件实质性要求且最终报价最低的供应商的价格为磋商基准价，其价格分为满分30分。 3.磋商报价得分=（磋商基准价/磋商报价）×30的公式计算得分。 4.磋商报价不完整的，不进入磋商标准价的计算，本项得0分。 5.经评委一致认定，供应商的磋商最终总报价低于公认市场成本，或超过采购预算,其磋商响应将被拒绝。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详见附件：技术响应文件（王寨）.docx</w:t>
      </w:r>
    </w:p>
    <w:p>
      <w:pPr>
        <w:pStyle w:val="null3"/>
        <w:ind w:firstLine="960"/>
      </w:pPr>
      <w:r>
        <w:rPr>
          <w:rFonts w:ascii="仿宋_GB2312" w:hAnsi="仿宋_GB2312" w:cs="仿宋_GB2312" w:eastAsia="仿宋_GB2312"/>
        </w:rPr>
        <w:t>详见附件：资格证明文件（王寨）.docx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详见附件：拟签订采购合同文本（王寨）.docx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