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AE983">
      <w:pPr>
        <w:pStyle w:val="2"/>
        <w:jc w:val="both"/>
        <w:rPr>
          <w:rFonts w:hint="eastAsia" w:ascii="Times New Roman" w:hAnsi="Times New Roman" w:eastAsia="宋体" w:cs="Times New Roman"/>
          <w:color w:val="auto"/>
          <w:kern w:val="2"/>
          <w:sz w:val="21"/>
          <w:szCs w:val="21"/>
          <w:highlight w:val="none"/>
          <w:lang w:val="en-US" w:eastAsia="zh-CN" w:bidi="ar-SA"/>
        </w:rPr>
      </w:pPr>
      <w:bookmarkStart w:id="1" w:name="_GoBack"/>
      <w:bookmarkEnd w:id="1"/>
    </w:p>
    <w:p w14:paraId="6383D7EE">
      <w:pPr>
        <w:rPr>
          <w:rFonts w:hint="eastAsia"/>
          <w:highlight w:val="none"/>
          <w:lang w:val="en-US" w:eastAsia="zh-CN"/>
        </w:rPr>
      </w:pPr>
    </w:p>
    <w:p w14:paraId="433DD44F">
      <w:pPr>
        <w:pStyle w:val="4"/>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地质灾害遥感风险排查技术支持服务</w:t>
      </w:r>
    </w:p>
    <w:p w14:paraId="19DB98DD">
      <w:pPr>
        <w:pStyle w:val="4"/>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r>
        <w:rPr>
          <w:rFonts w:hint="eastAsia" w:ascii="宋体" w:hAnsi="宋体" w:cs="宋体"/>
          <w:b/>
          <w:bCs/>
          <w:color w:val="auto"/>
          <w:kern w:val="0"/>
          <w:sz w:val="44"/>
          <w:szCs w:val="44"/>
          <w:highlight w:val="none"/>
          <w:u w:val="none"/>
          <w:lang w:val="en-US" w:eastAsia="zh-CN"/>
        </w:rPr>
        <w:t>示例</w:t>
      </w:r>
    </w:p>
    <w:p w14:paraId="1DA3812A">
      <w:pPr>
        <w:spacing w:line="324" w:lineRule="auto"/>
        <w:rPr>
          <w:rFonts w:hint="eastAsia" w:ascii="Times New Roman" w:hAnsi="宋体" w:eastAsia="宋体" w:cs="宋体"/>
          <w:color w:val="auto"/>
          <w:sz w:val="18"/>
          <w:szCs w:val="21"/>
          <w:highlight w:val="none"/>
        </w:rPr>
      </w:pPr>
    </w:p>
    <w:p w14:paraId="41B8D73E">
      <w:pPr>
        <w:spacing w:line="324" w:lineRule="auto"/>
        <w:rPr>
          <w:rFonts w:hint="eastAsia" w:ascii="Times New Roman" w:hAnsi="宋体" w:eastAsia="宋体" w:cs="宋体"/>
          <w:color w:val="auto"/>
          <w:sz w:val="18"/>
          <w:szCs w:val="21"/>
          <w:highlight w:val="none"/>
        </w:rPr>
      </w:pPr>
    </w:p>
    <w:p w14:paraId="40C909D4">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D8F8D63">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E1A1CE0">
      <w:pPr>
        <w:spacing w:line="324" w:lineRule="auto"/>
        <w:rPr>
          <w:rFonts w:hint="eastAsia" w:ascii="Times New Roman" w:hAnsi="宋体" w:eastAsia="宋体" w:cs="宋体"/>
          <w:color w:val="auto"/>
          <w:sz w:val="18"/>
          <w:szCs w:val="21"/>
          <w:highlight w:val="none"/>
        </w:rPr>
      </w:pPr>
    </w:p>
    <w:p w14:paraId="07725355">
      <w:pPr>
        <w:spacing w:line="324" w:lineRule="auto"/>
        <w:rPr>
          <w:rFonts w:hint="eastAsia" w:ascii="Times New Roman" w:hAnsi="宋体" w:eastAsia="宋体" w:cs="宋体"/>
          <w:color w:val="auto"/>
          <w:sz w:val="18"/>
          <w:szCs w:val="21"/>
          <w:highlight w:val="none"/>
        </w:rPr>
      </w:pPr>
    </w:p>
    <w:p w14:paraId="332954C3">
      <w:pPr>
        <w:spacing w:line="324" w:lineRule="auto"/>
        <w:jc w:val="center"/>
        <w:rPr>
          <w:rFonts w:hint="eastAsia" w:ascii="Times New Roman" w:hAnsi="宋体" w:eastAsia="宋体" w:cs="宋体"/>
          <w:b/>
          <w:color w:val="auto"/>
          <w:sz w:val="28"/>
          <w:szCs w:val="28"/>
          <w:highlight w:val="none"/>
        </w:rPr>
      </w:pPr>
    </w:p>
    <w:p w14:paraId="4D559474">
      <w:pPr>
        <w:spacing w:before="163" w:beforeLines="50" w:line="360" w:lineRule="auto"/>
        <w:rPr>
          <w:rFonts w:hint="eastAsia" w:ascii="Times New Roman" w:hAnsi="宋体" w:eastAsia="宋体" w:cs="宋体"/>
          <w:bCs/>
          <w:color w:val="auto"/>
          <w:sz w:val="40"/>
          <w:szCs w:val="40"/>
          <w:highlight w:val="none"/>
        </w:rPr>
      </w:pPr>
    </w:p>
    <w:p w14:paraId="4DDB89DC">
      <w:pPr>
        <w:spacing w:before="163" w:beforeLines="50" w:line="360" w:lineRule="auto"/>
        <w:jc w:val="center"/>
        <w:rPr>
          <w:rFonts w:hint="eastAsia" w:ascii="Times New Roman" w:hAnsi="宋体" w:eastAsia="宋体" w:cs="宋体"/>
          <w:b/>
          <w:bCs/>
          <w:color w:val="auto"/>
          <w:sz w:val="28"/>
          <w:szCs w:val="28"/>
          <w:highlight w:val="none"/>
        </w:rPr>
      </w:pPr>
    </w:p>
    <w:p w14:paraId="5F9D8EC3">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采购人：</w:t>
      </w:r>
      <w:r>
        <w:rPr>
          <w:rFonts w:hint="eastAsia" w:ascii="宋体" w:hAnsi="宋体" w:eastAsia="宋体" w:cs="宋体"/>
          <w:b/>
          <w:bCs/>
          <w:snapToGrid w:val="0"/>
          <w:color w:val="auto"/>
          <w:kern w:val="0"/>
          <w:sz w:val="32"/>
          <w:szCs w:val="32"/>
          <w:highlight w:val="none"/>
          <w:u w:val="single"/>
          <w:lang w:val="en-US" w:eastAsia="zh-CN"/>
        </w:rPr>
        <w:t>陕西省公路局</w:t>
      </w:r>
    </w:p>
    <w:p w14:paraId="013FCB87">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供应商：</w:t>
      </w:r>
    </w:p>
    <w:p w14:paraId="501A2B83">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349F990D">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二〇二六年月</w:t>
      </w:r>
      <w:r>
        <w:rPr>
          <w:rFonts w:hint="eastAsia" w:ascii="Times New Roman" w:hAnsi="宋体" w:eastAsia="宋体" w:cs="宋体"/>
          <w:b/>
          <w:bCs/>
          <w:color w:val="auto"/>
          <w:sz w:val="28"/>
          <w:szCs w:val="28"/>
          <w:highlight w:val="none"/>
        </w:rPr>
        <w:br w:type="page"/>
      </w:r>
    </w:p>
    <w:p w14:paraId="67C3B0E2">
      <w:pPr>
        <w:spacing w:before="157" w:beforeLines="50" w:line="560" w:lineRule="exact"/>
        <w:jc w:val="center"/>
        <w:outlineLvl w:val="0"/>
        <w:rPr>
          <w:rFonts w:hint="eastAsia" w:ascii="国标仿宋-GB/T 2312" w:hAnsi="国标仿宋-GB/T 2312" w:eastAsia="国标仿宋-GB/T 2312" w:cs="国标仿宋-GB/T 2312"/>
          <w:b/>
          <w:bCs/>
          <w:color w:val="auto"/>
          <w:sz w:val="36"/>
          <w:szCs w:val="36"/>
          <w:highlight w:val="none"/>
          <w:lang w:eastAsia="zh-CN"/>
        </w:rPr>
      </w:pPr>
      <w:r>
        <w:rPr>
          <w:rFonts w:hint="eastAsia" w:ascii="国标仿宋-GB/T 2312" w:hAnsi="国标仿宋-GB/T 2312" w:eastAsia="国标仿宋-GB/T 2312" w:cs="国标仿宋-GB/T 2312"/>
          <w:b/>
          <w:bCs/>
          <w:color w:val="auto"/>
          <w:sz w:val="36"/>
          <w:szCs w:val="36"/>
          <w:highlight w:val="none"/>
          <w:lang w:eastAsia="zh-CN"/>
        </w:rPr>
        <w:t>合同协议书</w:t>
      </w:r>
    </w:p>
    <w:p w14:paraId="2692BCA4">
      <w:pPr>
        <w:spacing w:line="560" w:lineRule="exact"/>
        <w:ind w:firstLine="482" w:firstLineChars="200"/>
        <w:rPr>
          <w:rFonts w:hint="eastAsia" w:ascii="国标仿宋-GB/T 2312" w:hAnsi="国标仿宋-GB/T 2312" w:eastAsia="国标仿宋-GB/T 2312" w:cs="国标仿宋-GB/T 2312"/>
          <w:b/>
          <w:bCs/>
          <w:color w:val="auto"/>
          <w:sz w:val="24"/>
          <w:szCs w:val="24"/>
          <w:highlight w:val="none"/>
          <w:u w:val="none"/>
        </w:rPr>
      </w:pPr>
    </w:p>
    <w:p w14:paraId="5F149164">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甲方（采购人）：</w:t>
      </w:r>
      <w:r>
        <w:rPr>
          <w:rFonts w:hint="eastAsia" w:ascii="国标仿宋-GB/T 2312" w:hAnsi="国标仿宋-GB/T 2312" w:eastAsia="国标仿宋-GB/T 2312" w:cs="国标仿宋-GB/T 2312"/>
          <w:b/>
          <w:bCs/>
          <w:color w:val="auto"/>
          <w:sz w:val="28"/>
          <w:szCs w:val="28"/>
          <w:highlight w:val="none"/>
          <w:u w:val="single"/>
          <w:lang w:val="en-US" w:eastAsia="zh-CN"/>
        </w:rPr>
        <w:t>陕西省公路局</w:t>
      </w:r>
    </w:p>
    <w:p w14:paraId="36F525B8">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乙方（供应商）：</w:t>
      </w:r>
    </w:p>
    <w:p w14:paraId="541D11EF">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根据《中华人民共和国民法典》</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中华人民共和国政府采购法</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及其他有关法律、法规，遵循平等、自愿、公平和诚信的原则，双方就下述项目范围与相关服务事项协商一致，订立本合同。</w:t>
      </w:r>
    </w:p>
    <w:p w14:paraId="1A0BF827">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一、项目概况</w:t>
      </w:r>
    </w:p>
    <w:p w14:paraId="3C6F8EB8">
      <w:pPr>
        <w:pageBreakBefore w:val="0"/>
        <w:wordWrap/>
        <w:overflowPunct/>
        <w:topLinePunct w:val="0"/>
        <w:autoSpaceDE/>
        <w:autoSpaceDN/>
        <w:bidi w:val="0"/>
        <w:spacing w:line="560" w:lineRule="exact"/>
        <w:ind w:left="0" w:leftChars="0" w:firstLine="560" w:firstLineChars="2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（一）</w:t>
      </w:r>
      <w:r>
        <w:rPr>
          <w:rFonts w:hint="eastAsia" w:ascii="国标仿宋-GB/T 2312" w:hAnsi="国标仿宋-GB/T 2312" w:eastAsia="国标仿宋-GB/T 2312" w:cs="国标仿宋-GB/T 2312"/>
          <w:color w:val="auto"/>
          <w:sz w:val="28"/>
          <w:szCs w:val="28"/>
          <w:highlight w:val="none"/>
          <w:u w:val="none"/>
        </w:rPr>
        <w:t>项目名称</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国标仿宋-GB/T 2312" w:hAnsi="国标仿宋-GB/T 2312" w:eastAsia="国标仿宋-GB/T 2312" w:cs="国标仿宋-GB/T 2312"/>
          <w:color w:val="auto"/>
          <w:sz w:val="28"/>
          <w:szCs w:val="28"/>
          <w:highlight w:val="none"/>
          <w:u w:val="single"/>
          <w:lang w:val="en-US" w:eastAsia="zh-CN"/>
        </w:rPr>
        <w:t>地质灾害遥感风险排查技术支持服务</w:t>
      </w:r>
    </w:p>
    <w:p w14:paraId="3B1BDE77">
      <w:pPr>
        <w:pStyle w:val="4"/>
        <w:spacing w:line="560" w:lineRule="exact"/>
        <w:ind w:firstLine="560" w:firstLineChars="200"/>
        <w:rPr>
          <w:rFonts w:hint="eastAsia" w:ascii="国标仿宋-GB/T 2312" w:hAnsi="国标仿宋-GB/T 2312" w:eastAsia="国标仿宋-GB/T 2312" w:cs="国标仿宋-GB/T 2312"/>
          <w:b w:val="0"/>
          <w:bCs w:val="0"/>
          <w:highlight w:val="none"/>
          <w:u w:val="non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（二）项目地点：</w:t>
      </w:r>
      <w:r>
        <w:rPr>
          <w:rFonts w:hint="eastAsia" w:ascii="国标仿宋-GB/T 2312" w:hAnsi="国标仿宋-GB/T 2312" w:eastAsia="国标仿宋-GB/T 2312" w:cs="国标仿宋-GB/T 2312"/>
          <w:b w:val="0"/>
          <w:bCs w:val="0"/>
          <w:color w:val="auto"/>
          <w:sz w:val="28"/>
          <w:szCs w:val="28"/>
          <w:highlight w:val="none"/>
          <w:u w:val="single"/>
          <w:lang w:val="en-US" w:eastAsia="zh-CN"/>
        </w:rPr>
        <w:t>陕西省内</w:t>
      </w:r>
    </w:p>
    <w:p w14:paraId="482FEE8D">
      <w:pPr>
        <w:keepNext w:val="0"/>
        <w:keepLines w:val="0"/>
        <w:pageBreakBefore w:val="0"/>
        <w:widowControl w:val="0"/>
        <w:kinsoku/>
        <w:wordWrap/>
        <w:overflowPunct/>
        <w:topLinePunct w:val="0"/>
        <w:autoSpaceDE/>
        <w:autoSpaceDN/>
        <w:bidi w:val="0"/>
        <w:adjustRightInd w:val="0"/>
        <w:snapToGrid w:val="0"/>
        <w:spacing w:line="560" w:lineRule="exact"/>
        <w:ind w:leftChars="0" w:firstLine="560" w:firstLineChars="200"/>
        <w:jc w:val="both"/>
        <w:textAlignment w:val="auto"/>
        <w:rPr>
          <w:rFonts w:hint="default" w:ascii="仿宋_GB2312" w:hAnsi="仿宋_GB2312" w:eastAsia="仿宋_GB2312" w:cs="仿宋_GB2312"/>
          <w:b w:val="0"/>
          <w:bCs/>
          <w:color w:val="auto"/>
          <w:kern w:val="0"/>
          <w:sz w:val="28"/>
          <w:szCs w:val="28"/>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（三）</w:t>
      </w:r>
      <w:r>
        <w:rPr>
          <w:rFonts w:hint="eastAsia" w:ascii="国标仿宋-GB/T 2312" w:hAnsi="国标仿宋-GB/T 2312" w:eastAsia="国标仿宋-GB/T 2312" w:cs="国标仿宋-GB/T 2312"/>
          <w:color w:val="auto"/>
          <w:sz w:val="28"/>
          <w:szCs w:val="28"/>
          <w:highlight w:val="none"/>
          <w:u w:val="none"/>
        </w:rPr>
        <w:t>服务内容</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仿宋_GB2312" w:hAnsi="仿宋_GB2312" w:eastAsia="仿宋_GB2312" w:cs="仿宋_GB2312"/>
          <w:b w:val="0"/>
          <w:bCs/>
          <w:color w:val="auto"/>
          <w:kern w:val="0"/>
          <w:sz w:val="28"/>
          <w:szCs w:val="28"/>
          <w:lang w:val="en-US" w:eastAsia="zh-CN"/>
        </w:rPr>
        <w:t>利用全省D-InSAR形变图叠加高速公路、普通国省干线公路矢量以及自然资源部门在册隐患点和风险区（时间截至2025年12月，风险区为中风险以上区域），对陕西省约7000公里高速公路和20000公里普通国省干线公路（下称“干线公路”）两侧5公里范围内的隐患点和风险区进行落图叠加，利用亚米光学数据对其是否影响公路基础设施安全进行分析，采取核密度法计算并按照自然断点的方式初步形成地质灾害风险路段。经干线公路养护管理单位对初步形成的地质灾害点和风险路段现场排查后，形成威胁公路的重点地质灾害隐患和风险区域，在汛期对公路沿线重点地质灾害隐患和风险区域进行精细化监测分析5次。通过</w:t>
      </w:r>
      <w:r>
        <w:rPr>
          <w:rFonts w:hint="eastAsia" w:ascii="仿宋_GB2312" w:hAnsi="仿宋_GB2312" w:eastAsia="仿宋_GB2312" w:cs="仿宋_GB2312"/>
          <w:b w:val="0"/>
          <w:bCs/>
          <w:color w:val="auto"/>
          <w:kern w:val="0"/>
          <w:sz w:val="28"/>
          <w:szCs w:val="28"/>
          <w:lang w:val="en-US" w:eastAsia="zh-TW"/>
        </w:rPr>
        <w:t>对</w:t>
      </w:r>
      <w:r>
        <w:rPr>
          <w:rFonts w:hint="eastAsia" w:ascii="仿宋_GB2312" w:hAnsi="仿宋_GB2312" w:eastAsia="仿宋_GB2312" w:cs="仿宋_GB2312"/>
          <w:b w:val="0"/>
          <w:bCs/>
          <w:color w:val="auto"/>
          <w:kern w:val="0"/>
          <w:sz w:val="28"/>
          <w:szCs w:val="28"/>
          <w:lang w:val="en-US" w:eastAsia="zh-CN"/>
        </w:rPr>
        <w:t>陕西省干线公路沿线</w:t>
      </w:r>
      <w:r>
        <w:rPr>
          <w:rFonts w:hint="eastAsia" w:ascii="仿宋_GB2312" w:hAnsi="仿宋_GB2312" w:eastAsia="仿宋_GB2312" w:cs="仿宋_GB2312"/>
          <w:b w:val="0"/>
          <w:bCs/>
          <w:color w:val="auto"/>
          <w:kern w:val="0"/>
          <w:sz w:val="28"/>
          <w:szCs w:val="28"/>
          <w:lang w:val="en-US" w:eastAsia="zh-TW"/>
        </w:rPr>
        <w:t>开展</w:t>
      </w:r>
      <w:r>
        <w:rPr>
          <w:rFonts w:hint="eastAsia" w:ascii="仿宋_GB2312" w:hAnsi="仿宋_GB2312" w:eastAsia="仿宋_GB2312" w:cs="仿宋_GB2312"/>
          <w:b w:val="0"/>
          <w:bCs/>
          <w:color w:val="auto"/>
          <w:kern w:val="0"/>
          <w:sz w:val="28"/>
          <w:szCs w:val="28"/>
          <w:lang w:val="en-US" w:eastAsia="zh-CN"/>
        </w:rPr>
        <w:t>遥感</w:t>
      </w:r>
      <w:r>
        <w:rPr>
          <w:rFonts w:hint="eastAsia" w:ascii="仿宋_GB2312" w:hAnsi="仿宋_GB2312" w:eastAsia="仿宋_GB2312" w:cs="仿宋_GB2312"/>
          <w:b w:val="0"/>
          <w:bCs/>
          <w:color w:val="auto"/>
          <w:kern w:val="0"/>
          <w:sz w:val="28"/>
          <w:szCs w:val="28"/>
          <w:lang w:val="en-US" w:eastAsia="zh-TW"/>
        </w:rPr>
        <w:t>地质灾害风险隐患</w:t>
      </w:r>
      <w:r>
        <w:rPr>
          <w:rFonts w:hint="eastAsia" w:ascii="仿宋_GB2312" w:hAnsi="仿宋_GB2312" w:eastAsia="仿宋_GB2312" w:cs="仿宋_GB2312"/>
          <w:b w:val="0"/>
          <w:bCs/>
          <w:color w:val="auto"/>
          <w:kern w:val="0"/>
          <w:sz w:val="28"/>
          <w:szCs w:val="28"/>
          <w:lang w:val="en-US" w:eastAsia="zh-CN"/>
        </w:rPr>
        <w:t>排查，以及对陕西重点区域的（高速公路和普通国省干线公路两侧5公里范围内地质灾害风险路段）精细化扫描，提升地质灾害隐患的早期识别能力，为公路养护管理、灾害预警及应急响应提供有力支持。以上工作遥感数据分辨率不低于3米，</w:t>
      </w:r>
      <w:r>
        <w:rPr>
          <w:rFonts w:hint="eastAsia" w:ascii="仿宋_GB2312" w:hAnsi="仿宋_GB2312" w:eastAsia="仿宋_GB2312" w:cs="仿宋_GB2312"/>
          <w:b w:val="0"/>
          <w:bCs/>
          <w:color w:val="auto"/>
          <w:kern w:val="0"/>
          <w:sz w:val="28"/>
          <w:szCs w:val="28"/>
          <w:lang w:val="en-US" w:eastAsia="zh-TW"/>
        </w:rPr>
        <w:t>根据</w:t>
      </w:r>
      <w:r>
        <w:rPr>
          <w:rFonts w:hint="eastAsia" w:ascii="仿宋_GB2312" w:hAnsi="仿宋_GB2312" w:eastAsia="仿宋_GB2312" w:cs="仿宋_GB2312"/>
          <w:b w:val="0"/>
          <w:bCs/>
          <w:color w:val="auto"/>
          <w:kern w:val="0"/>
          <w:sz w:val="28"/>
          <w:szCs w:val="28"/>
          <w:lang w:val="en-US" w:eastAsia="zh-CN"/>
        </w:rPr>
        <w:t>以上监测</w:t>
      </w:r>
      <w:r>
        <w:rPr>
          <w:rFonts w:hint="eastAsia" w:ascii="仿宋_GB2312" w:hAnsi="仿宋_GB2312" w:eastAsia="仿宋_GB2312" w:cs="仿宋_GB2312"/>
          <w:b w:val="0"/>
          <w:bCs/>
          <w:color w:val="auto"/>
          <w:kern w:val="0"/>
          <w:sz w:val="28"/>
          <w:szCs w:val="28"/>
          <w:lang w:val="en-US" w:eastAsia="zh-TW"/>
        </w:rPr>
        <w:t>数据</w:t>
      </w:r>
      <w:r>
        <w:rPr>
          <w:rFonts w:hint="eastAsia" w:ascii="仿宋_GB2312" w:hAnsi="仿宋_GB2312" w:eastAsia="仿宋_GB2312" w:cs="仿宋_GB2312"/>
          <w:b w:val="0"/>
          <w:bCs/>
          <w:color w:val="auto"/>
          <w:kern w:val="0"/>
          <w:sz w:val="28"/>
          <w:szCs w:val="28"/>
          <w:lang w:val="en-US" w:eastAsia="zh-CN"/>
        </w:rPr>
        <w:t>及分析成果，</w:t>
      </w:r>
      <w:r>
        <w:rPr>
          <w:rFonts w:hint="eastAsia" w:ascii="仿宋_GB2312" w:hAnsi="仿宋_GB2312" w:eastAsia="仿宋_GB2312" w:cs="仿宋_GB2312"/>
          <w:b w:val="0"/>
          <w:bCs/>
          <w:color w:val="auto"/>
          <w:kern w:val="0"/>
          <w:sz w:val="28"/>
          <w:szCs w:val="28"/>
          <w:lang w:val="en-US" w:eastAsia="zh-TW"/>
        </w:rPr>
        <w:t>形成</w:t>
      </w:r>
      <w:r>
        <w:rPr>
          <w:rFonts w:hint="eastAsia" w:ascii="仿宋_GB2312" w:hAnsi="仿宋_GB2312" w:eastAsia="仿宋_GB2312" w:cs="仿宋_GB2312"/>
          <w:b w:val="0"/>
          <w:bCs/>
          <w:color w:val="auto"/>
          <w:kern w:val="0"/>
          <w:sz w:val="28"/>
          <w:szCs w:val="28"/>
          <w:lang w:val="en-US" w:eastAsia="zh-CN"/>
        </w:rPr>
        <w:t>监测报告与</w:t>
      </w:r>
      <w:r>
        <w:rPr>
          <w:rFonts w:hint="eastAsia" w:ascii="仿宋_GB2312" w:hAnsi="仿宋_GB2312" w:eastAsia="仿宋_GB2312" w:cs="仿宋_GB2312"/>
          <w:b w:val="0"/>
          <w:bCs/>
          <w:color w:val="auto"/>
          <w:kern w:val="0"/>
          <w:sz w:val="28"/>
          <w:szCs w:val="28"/>
          <w:lang w:val="en-US" w:eastAsia="zh-TW"/>
        </w:rPr>
        <w:t>风险隐患台账。</w:t>
      </w:r>
    </w:p>
    <w:p w14:paraId="107279E5">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二</w:t>
      </w:r>
      <w:r>
        <w:rPr>
          <w:rFonts w:hint="eastAsia" w:ascii="国标仿宋-GB/T 2312" w:hAnsi="国标仿宋-GB/T 2312" w:eastAsia="国标仿宋-GB/T 2312" w:cs="国标仿宋-GB/T 2312"/>
          <w:b/>
          <w:bCs/>
          <w:color w:val="auto"/>
          <w:sz w:val="28"/>
          <w:szCs w:val="28"/>
          <w:highlight w:val="none"/>
        </w:rPr>
        <w:t>、合同金额</w:t>
      </w:r>
    </w:p>
    <w:p w14:paraId="0AE1C22D">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合同总价款(含税价):</w:t>
      </w:r>
      <w:r>
        <w:rPr>
          <w:rFonts w:hint="eastAsia" w:ascii="国标仿宋-GB/T 2312" w:hAnsi="国标仿宋-GB/T 2312" w:eastAsia="国标仿宋-GB/T 2312" w:cs="国标仿宋-GB/T 2312"/>
          <w:color w:val="auto"/>
          <w:sz w:val="28"/>
          <w:szCs w:val="28"/>
          <w:highlight w:val="none"/>
          <w:u w:val="single"/>
        </w:rPr>
        <w:t>(</w:t>
      </w:r>
      <w:r>
        <w:rPr>
          <w:rFonts w:hint="eastAsia" w:ascii="国标仿宋-GB/T 2312" w:hAnsi="国标仿宋-GB/T 2312" w:eastAsia="国标仿宋-GB/T 2312" w:cs="国标仿宋-GB/T 2312"/>
          <w:color w:val="auto"/>
          <w:sz w:val="28"/>
          <w:szCs w:val="28"/>
          <w:highlight w:val="none"/>
          <w:u w:val="single"/>
          <w:lang w:val="en-US" w:eastAsia="zh-CN"/>
        </w:rPr>
        <w:t>¥</w:t>
      </w:r>
      <w:r>
        <w:rPr>
          <w:rFonts w:hint="eastAsia" w:ascii="国标仿宋-GB/T 2312" w:hAnsi="国标仿宋-GB/T 2312" w:eastAsia="国标仿宋-GB/T 2312" w:cs="国标仿宋-GB/T 2312"/>
          <w:color w:val="auto"/>
          <w:sz w:val="28"/>
          <w:szCs w:val="28"/>
          <w:highlight w:val="none"/>
        </w:rPr>
        <w:t>元)</w:t>
      </w:r>
      <w:r>
        <w:rPr>
          <w:rFonts w:hint="eastAsia" w:ascii="国标仿宋-GB/T 2312" w:hAnsi="国标仿宋-GB/T 2312" w:eastAsia="国标仿宋-GB/T 2312" w:cs="国标仿宋-GB/T 2312"/>
          <w:color w:val="auto"/>
          <w:sz w:val="28"/>
          <w:szCs w:val="28"/>
          <w:highlight w:val="none"/>
          <w:lang w:eastAsia="zh-CN"/>
        </w:rPr>
        <w:t>。</w:t>
      </w:r>
    </w:p>
    <w:p w14:paraId="79617801">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合同价格为含税价，乙方报价</w:t>
      </w:r>
      <w:r>
        <w:rPr>
          <w:rFonts w:hint="eastAsia" w:ascii="国标仿宋-GB/T 2312" w:hAnsi="国标仿宋-GB/T 2312" w:eastAsia="国标仿宋-GB/T 2312" w:cs="国标仿宋-GB/T 2312"/>
          <w:color w:val="auto"/>
          <w:sz w:val="28"/>
          <w:szCs w:val="28"/>
          <w:highlight w:val="none"/>
          <w:lang w:eastAsia="zh-CN"/>
        </w:rPr>
        <w:t>包含</w:t>
      </w:r>
      <w:r>
        <w:rPr>
          <w:rFonts w:hint="eastAsia" w:ascii="国标仿宋-GB/T 2312" w:hAnsi="国标仿宋-GB/T 2312" w:eastAsia="国标仿宋-GB/T 2312" w:cs="国标仿宋-GB/T 2312"/>
          <w:color w:val="auto"/>
          <w:sz w:val="28"/>
          <w:szCs w:val="28"/>
          <w:highlight w:val="none"/>
        </w:rPr>
        <w:t>完成</w:t>
      </w:r>
      <w:r>
        <w:rPr>
          <w:rFonts w:hint="eastAsia" w:ascii="国标仿宋-GB/T 2312" w:hAnsi="国标仿宋-GB/T 2312" w:eastAsia="国标仿宋-GB/T 2312" w:cs="国标仿宋-GB/T 2312"/>
          <w:color w:val="auto"/>
          <w:sz w:val="28"/>
          <w:szCs w:val="28"/>
          <w:highlight w:val="none"/>
          <w:lang w:eastAsia="zh-CN"/>
        </w:rPr>
        <w:t>本</w:t>
      </w:r>
      <w:r>
        <w:rPr>
          <w:rFonts w:hint="eastAsia" w:ascii="国标仿宋-GB/T 2312" w:hAnsi="国标仿宋-GB/T 2312" w:eastAsia="国标仿宋-GB/T 2312" w:cs="国标仿宋-GB/T 2312"/>
          <w:color w:val="auto"/>
          <w:sz w:val="28"/>
          <w:szCs w:val="28"/>
          <w:highlight w:val="none"/>
        </w:rPr>
        <w:t>项目所需的全部费用（包括</w:t>
      </w:r>
      <w:r>
        <w:rPr>
          <w:rFonts w:hint="eastAsia" w:ascii="国标仿宋-GB/T 2312" w:hAnsi="国标仿宋-GB/T 2312" w:eastAsia="国标仿宋-GB/T 2312" w:cs="国标仿宋-GB/T 2312"/>
          <w:color w:val="auto"/>
          <w:sz w:val="28"/>
          <w:szCs w:val="28"/>
          <w:highlight w:val="none"/>
          <w:lang w:eastAsia="zh-CN"/>
        </w:rPr>
        <w:t>但不限于</w:t>
      </w:r>
      <w:r>
        <w:rPr>
          <w:rFonts w:hint="eastAsia" w:ascii="国标仿宋-GB/T 2312" w:hAnsi="国标仿宋-GB/T 2312" w:eastAsia="国标仿宋-GB/T 2312" w:cs="国标仿宋-GB/T 2312"/>
          <w:color w:val="auto"/>
          <w:sz w:val="28"/>
          <w:szCs w:val="28"/>
          <w:highlight w:val="none"/>
        </w:rPr>
        <w:t>劳务费、国家按现行税收政策征收的一切税</w:t>
      </w:r>
      <w:r>
        <w:rPr>
          <w:rFonts w:hint="eastAsia" w:ascii="国标仿宋-GB/T 2312" w:hAnsi="国标仿宋-GB/T 2312" w:eastAsia="国标仿宋-GB/T 2312" w:cs="国标仿宋-GB/T 2312"/>
          <w:color w:val="auto"/>
          <w:sz w:val="28"/>
          <w:szCs w:val="28"/>
          <w:highlight w:val="none"/>
          <w:lang w:eastAsia="zh-CN"/>
        </w:rPr>
        <w:t>、服务费、</w:t>
      </w:r>
      <w:r>
        <w:rPr>
          <w:rFonts w:hint="eastAsia" w:ascii="国标仿宋-GB/T 2312" w:hAnsi="国标仿宋-GB/T 2312" w:eastAsia="国标仿宋-GB/T 2312" w:cs="国标仿宋-GB/T 2312"/>
          <w:color w:val="auto"/>
          <w:sz w:val="28"/>
          <w:szCs w:val="28"/>
          <w:highlight w:val="none"/>
          <w:lang w:val="en-US" w:eastAsia="zh-CN"/>
        </w:rPr>
        <w:t>分析报告出具费用</w:t>
      </w:r>
      <w:r>
        <w:rPr>
          <w:rFonts w:hint="eastAsia" w:ascii="国标仿宋-GB/T 2312" w:hAnsi="国标仿宋-GB/T 2312" w:eastAsia="国标仿宋-GB/T 2312" w:cs="国标仿宋-GB/T 2312"/>
          <w:color w:val="auto"/>
          <w:sz w:val="28"/>
          <w:szCs w:val="28"/>
          <w:highlight w:val="none"/>
        </w:rPr>
        <w:t>等</w:t>
      </w:r>
      <w:r>
        <w:rPr>
          <w:rFonts w:hint="eastAsia" w:ascii="国标仿宋-GB/T 2312" w:hAnsi="国标仿宋-GB/T 2312" w:eastAsia="国标仿宋-GB/T 2312" w:cs="国标仿宋-GB/T 2312"/>
          <w:color w:val="auto"/>
          <w:sz w:val="28"/>
          <w:szCs w:val="28"/>
          <w:highlight w:val="none"/>
          <w:lang w:eastAsia="zh-CN"/>
        </w:rPr>
        <w:t>一切费用</w:t>
      </w:r>
      <w:r>
        <w:rPr>
          <w:rFonts w:hint="eastAsia" w:ascii="国标仿宋-GB/T 2312" w:hAnsi="国标仿宋-GB/T 2312" w:eastAsia="国标仿宋-GB/T 2312" w:cs="国标仿宋-GB/T 2312"/>
          <w:color w:val="auto"/>
          <w:sz w:val="28"/>
          <w:szCs w:val="28"/>
          <w:highlight w:val="none"/>
        </w:rPr>
        <w:t>）</w:t>
      </w:r>
      <w:r>
        <w:rPr>
          <w:rFonts w:hint="eastAsia" w:ascii="国标仿宋-GB/T 2312" w:hAnsi="国标仿宋-GB/T 2312" w:eastAsia="国标仿宋-GB/T 2312" w:cs="国标仿宋-GB/T 2312"/>
          <w:color w:val="auto"/>
          <w:sz w:val="28"/>
          <w:szCs w:val="28"/>
          <w:highlight w:val="none"/>
          <w:lang w:eastAsia="zh-CN"/>
        </w:rPr>
        <w:t>（根据合同内容予以确定），甲方无需再向乙方支付其他任何费用</w:t>
      </w:r>
      <w:r>
        <w:rPr>
          <w:rFonts w:hint="eastAsia" w:ascii="国标仿宋-GB/T 2312" w:hAnsi="国标仿宋-GB/T 2312" w:eastAsia="国标仿宋-GB/T 2312" w:cs="国标仿宋-GB/T 2312"/>
          <w:color w:val="auto"/>
          <w:sz w:val="28"/>
          <w:szCs w:val="28"/>
          <w:highlight w:val="none"/>
        </w:rPr>
        <w:t>。</w:t>
      </w:r>
    </w:p>
    <w:p w14:paraId="7EF59A49">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三</w:t>
      </w:r>
      <w:r>
        <w:rPr>
          <w:rFonts w:hint="eastAsia" w:ascii="国标仿宋-GB/T 2312" w:hAnsi="国标仿宋-GB/T 2312" w:eastAsia="国标仿宋-GB/T 2312" w:cs="国标仿宋-GB/T 2312"/>
          <w:b/>
          <w:bCs/>
          <w:color w:val="auto"/>
          <w:sz w:val="28"/>
          <w:szCs w:val="28"/>
          <w:highlight w:val="none"/>
        </w:rPr>
        <w:t>、服务</w:t>
      </w:r>
      <w:r>
        <w:rPr>
          <w:rFonts w:hint="eastAsia" w:ascii="国标仿宋-GB/T 2312" w:hAnsi="国标仿宋-GB/T 2312" w:eastAsia="国标仿宋-GB/T 2312" w:cs="国标仿宋-GB/T 2312"/>
          <w:b/>
          <w:bCs/>
          <w:color w:val="auto"/>
          <w:sz w:val="28"/>
          <w:szCs w:val="28"/>
          <w:highlight w:val="none"/>
          <w:lang w:val="en-US" w:eastAsia="zh-CN"/>
        </w:rPr>
        <w:t>期限</w:t>
      </w:r>
    </w:p>
    <w:p w14:paraId="35CF0B7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合同起止日期</w:t>
      </w:r>
      <w:r>
        <w:rPr>
          <w:rFonts w:hint="eastAsia" w:ascii="国标仿宋-GB/T 2312" w:hAnsi="国标仿宋-GB/T 2312" w:eastAsia="国标仿宋-GB/T 2312" w:cs="国标仿宋-GB/T 2312"/>
          <w:color w:val="auto"/>
          <w:sz w:val="28"/>
          <w:szCs w:val="28"/>
          <w:highlight w:val="none"/>
          <w:u w:val="single"/>
          <w:lang w:val="en-US" w:eastAsia="zh-CN"/>
        </w:rPr>
        <w:t>（    年    月    日 ----    年    月    日）</w:t>
      </w:r>
      <w:r>
        <w:rPr>
          <w:rFonts w:hint="eastAsia" w:ascii="国标仿宋-GB/T 2312" w:hAnsi="国标仿宋-GB/T 2312" w:eastAsia="国标仿宋-GB/T 2312" w:cs="国标仿宋-GB/T 2312"/>
          <w:color w:val="auto"/>
          <w:sz w:val="28"/>
          <w:szCs w:val="28"/>
          <w:highlight w:val="none"/>
          <w:u w:val="single"/>
        </w:rPr>
        <w:t>。</w:t>
      </w:r>
    </w:p>
    <w:p w14:paraId="6299C22E">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四、结算方式</w:t>
      </w:r>
    </w:p>
    <w:p w14:paraId="04931851">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（一）</w:t>
      </w:r>
      <w:r>
        <w:rPr>
          <w:rFonts w:hint="eastAsia" w:ascii="国标仿宋-GB/T 2312" w:hAnsi="国标仿宋-GB/T 2312" w:eastAsia="国标仿宋-GB/T 2312" w:cs="国标仿宋-GB/T 2312"/>
          <w:color w:val="auto"/>
          <w:sz w:val="28"/>
          <w:szCs w:val="28"/>
          <w:highlight w:val="none"/>
        </w:rPr>
        <w:t>结算单位:</w:t>
      </w:r>
    </w:p>
    <w:p w14:paraId="43108EDB">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eastAsia="zh-CN"/>
        </w:rPr>
        <w:t>由甲方负责结算。</w:t>
      </w:r>
      <w:r>
        <w:rPr>
          <w:rFonts w:hint="eastAsia" w:ascii="国标仿宋-GB/T 2312" w:hAnsi="国标仿宋-GB/T 2312" w:eastAsia="国标仿宋-GB/T 2312" w:cs="国标仿宋-GB/T 2312"/>
          <w:color w:val="auto"/>
          <w:sz w:val="28"/>
          <w:szCs w:val="28"/>
          <w:highlight w:val="none"/>
          <w:lang w:val="en-US" w:eastAsia="zh-CN"/>
        </w:rPr>
        <w:t>费用结算采用银行转账方式，分期付款。</w:t>
      </w:r>
      <w:r>
        <w:rPr>
          <w:rFonts w:hint="eastAsia" w:ascii="国标仿宋-GB/T 2312" w:hAnsi="国标仿宋-GB/T 2312" w:eastAsia="国标仿宋-GB/T 2312" w:cs="国标仿宋-GB/T 2312"/>
          <w:color w:val="auto"/>
          <w:sz w:val="28"/>
          <w:szCs w:val="28"/>
          <w:highlight w:val="none"/>
          <w:lang w:eastAsia="zh-CN"/>
        </w:rPr>
        <w:t>（根据合同内容予以确定）</w:t>
      </w:r>
      <w:r>
        <w:rPr>
          <w:rFonts w:hint="eastAsia" w:ascii="国标仿宋-GB/T 2312" w:hAnsi="国标仿宋-GB/T 2312" w:eastAsia="国标仿宋-GB/T 2312" w:cs="国标仿宋-GB/T 2312"/>
          <w:color w:val="auto"/>
          <w:sz w:val="28"/>
          <w:szCs w:val="28"/>
          <w:highlight w:val="none"/>
          <w:lang w:val="en-US" w:eastAsia="zh-CN"/>
        </w:rPr>
        <w:t>乙方应在甲方每次付款前，按照甲方要求的发票类型和金额，向甲方开具合法有效的发票，税费由乙方承担。否则，甲方有权拒绝付款且不承担迟延支付的违约责任。</w:t>
      </w:r>
    </w:p>
    <w:p w14:paraId="133CA3EE">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二</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付款方式:</w:t>
      </w:r>
    </w:p>
    <w:p w14:paraId="49F5F07F">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1.合同签订前，乙方须向甲方缴纳</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5%的履约保证金，履约保证金待乙方履行完毕全部合同义务，</w:t>
      </w:r>
      <w:r>
        <w:rPr>
          <w:rFonts w:hint="eastAsia" w:ascii="国标仿宋-GB/T 2312" w:hAnsi="国标仿宋-GB/T 2312" w:eastAsia="国标仿宋-GB/T 2312" w:cs="国标仿宋-GB/T 2312"/>
          <w:sz w:val="28"/>
          <w:szCs w:val="28"/>
          <w:highlight w:val="none"/>
        </w:rPr>
        <w:t>并经甲方验收合格，</w:t>
      </w:r>
      <w:r>
        <w:rPr>
          <w:rFonts w:hint="eastAsia" w:ascii="国标仿宋-GB/T 2312" w:hAnsi="国标仿宋-GB/T 2312" w:eastAsia="国标仿宋-GB/T 2312" w:cs="国标仿宋-GB/T 2312"/>
          <w:sz w:val="28"/>
          <w:szCs w:val="28"/>
        </w:rPr>
        <w:t>无任何纠纷后无息退还。</w:t>
      </w:r>
    </w:p>
    <w:p w14:paraId="0E8BA18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2.合同签订，甲方收到乙方缴纳的履约保证金及开具的增值税普通发票后</w:t>
      </w:r>
      <w:r>
        <w:rPr>
          <w:rFonts w:hint="eastAsia" w:ascii="国标仿宋-GB/T 2312" w:hAnsi="国标仿宋-GB/T 2312" w:eastAsia="国标仿宋-GB/T 2312" w:cs="国标仿宋-GB/T 2312"/>
          <w:sz w:val="28"/>
          <w:szCs w:val="28"/>
          <w:u w:val="single"/>
          <w:lang w:val="en-US" w:eastAsia="zh-CN"/>
        </w:rPr>
        <w:t>15</w:t>
      </w:r>
      <w:r>
        <w:rPr>
          <w:rFonts w:hint="eastAsia" w:ascii="国标仿宋-GB/T 2312" w:hAnsi="国标仿宋-GB/T 2312" w:eastAsia="国标仿宋-GB/T 2312" w:cs="国标仿宋-GB/T 2312"/>
          <w:sz w:val="28"/>
          <w:szCs w:val="28"/>
        </w:rPr>
        <w:t>日内，支付</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w:t>
      </w:r>
      <w:r>
        <w:rPr>
          <w:rFonts w:hint="eastAsia" w:ascii="国标仿宋-GB/T 2312" w:hAnsi="国标仿宋-GB/T 2312" w:eastAsia="国标仿宋-GB/T 2312" w:cs="国标仿宋-GB/T 2312"/>
          <w:sz w:val="28"/>
          <w:szCs w:val="28"/>
          <w:u w:val="none"/>
        </w:rPr>
        <w:t>60</w:t>
      </w:r>
      <w:r>
        <w:rPr>
          <w:rFonts w:hint="eastAsia" w:ascii="国标仿宋-GB/T 2312" w:hAnsi="国标仿宋-GB/T 2312" w:eastAsia="国标仿宋-GB/T 2312" w:cs="国标仿宋-GB/T 2312"/>
          <w:sz w:val="28"/>
          <w:szCs w:val="28"/>
        </w:rPr>
        <w:t>%。乙方完成合同约定全部内容，提交项目全部成果报告并经甲方确认满足要求后，甲方支付剩余合同金额。</w:t>
      </w:r>
      <w:r>
        <w:rPr>
          <w:rFonts w:hint="eastAsia" w:ascii="国标仿宋-GB/T 2312" w:hAnsi="国标仿宋-GB/T 2312" w:eastAsia="国标仿宋-GB/T 2312" w:cs="国标仿宋-GB/T 2312"/>
          <w:b w:val="0"/>
          <w:bCs w:val="0"/>
          <w:color w:val="auto"/>
          <w:kern w:val="2"/>
          <w:sz w:val="28"/>
          <w:szCs w:val="28"/>
          <w:lang w:val="en-US" w:eastAsia="zh-CN"/>
        </w:rPr>
        <w:t>如完成约定工作量大于95%的，按照上述支付条件进行。完成约定工作量在95%和85%之间的，支付合同总金额的95%；完成约定工作量小于85%的，按照合同总金额乘以完成约定工作量比例进行支付。</w:t>
      </w:r>
    </w:p>
    <w:p w14:paraId="77D82296">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3.甲方每次付款前，乙方均应开具与付款金额一致的增值税普通发票，否则甲方有权拒绝付款，且不应承担迟延付款的责任。</w:t>
      </w:r>
    </w:p>
    <w:p w14:paraId="6E89E401">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4.乙方超出任务书范围的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量以及未通过甲方审查的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量，甲方有权不予结算和支付相应款项。</w:t>
      </w:r>
    </w:p>
    <w:p w14:paraId="6B2B3BED">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5.甲方有权在项目实施过程中，要求乙方对不满足质量要求的工作进行返工，工期不予顺延。</w:t>
      </w:r>
    </w:p>
    <w:p w14:paraId="5D41328E">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五</w:t>
      </w:r>
      <w:r>
        <w:rPr>
          <w:rFonts w:hint="eastAsia" w:ascii="国标仿宋-GB/T 2312" w:hAnsi="国标仿宋-GB/T 2312" w:eastAsia="国标仿宋-GB/T 2312" w:cs="国标仿宋-GB/T 2312"/>
          <w:b/>
          <w:bCs/>
          <w:color w:val="auto"/>
          <w:sz w:val="28"/>
          <w:szCs w:val="28"/>
          <w:highlight w:val="none"/>
        </w:rPr>
        <w:t>、主要工作内容</w:t>
      </w:r>
    </w:p>
    <w:p w14:paraId="7F39D844">
      <w:pPr>
        <w:keepNext w:val="0"/>
        <w:keepLines w:val="0"/>
        <w:pageBreakBefore w:val="0"/>
        <w:widowControl w:val="0"/>
        <w:kinsoku/>
        <w:wordWrap/>
        <w:overflowPunct/>
        <w:topLinePunct w:val="0"/>
        <w:autoSpaceDE/>
        <w:autoSpaceDN/>
        <w:bidi w:val="0"/>
        <w:adjustRightInd w:val="0"/>
        <w:snapToGrid w:val="0"/>
        <w:spacing w:line="560" w:lineRule="exact"/>
        <w:ind w:leftChars="0" w:firstLine="560" w:firstLineChars="200"/>
        <w:jc w:val="both"/>
        <w:textAlignment w:val="auto"/>
        <w:rPr>
          <w:rFonts w:hint="default" w:ascii="仿宋_GB2312" w:hAnsi="仿宋_GB2312" w:eastAsia="仿宋_GB2312" w:cs="仿宋_GB2312"/>
          <w:b w:val="0"/>
          <w:bCs/>
          <w:color w:val="auto"/>
          <w:kern w:val="0"/>
          <w:sz w:val="28"/>
          <w:szCs w:val="28"/>
          <w:lang w:val="en-US" w:eastAsia="zh-CN"/>
        </w:rPr>
      </w:pPr>
      <w:r>
        <w:rPr>
          <w:rFonts w:hint="eastAsia" w:ascii="仿宋_GB2312" w:hAnsi="仿宋_GB2312" w:eastAsia="仿宋_GB2312" w:cs="仿宋_GB2312"/>
          <w:b w:val="0"/>
          <w:bCs/>
          <w:color w:val="auto"/>
          <w:kern w:val="0"/>
          <w:sz w:val="28"/>
          <w:szCs w:val="28"/>
          <w:lang w:val="en-US" w:eastAsia="zh-CN"/>
        </w:rPr>
        <w:t>利用全省D-InSAR形变图叠加高速公路、普通国省干线公路矢量以及自然资源部门在册隐患点和风险区（时间截至2025年12月，风险区为中风险以上区域），对陕西省约7000公里高速公路和20000公里普通国省干线公路（下称“干线公路”）两侧5公里范围内的隐患点和风险区进行落图叠加，利用亚米光学数据对其是否影响公路基础设施安全进行分析，采取核密度法计算并按照自然断点的方式初步形成地质灾害风险路段。经干线公路养护管理单位对初步形成的地质灾害点和风险路段现场排查后，形成威胁公路的重点地质灾害隐患和风险区域，在汛期对公路沿线重点地质灾害隐患和风险区域进行精细化监测分析5次。通过</w:t>
      </w:r>
      <w:r>
        <w:rPr>
          <w:rFonts w:hint="eastAsia" w:ascii="仿宋_GB2312" w:hAnsi="仿宋_GB2312" w:eastAsia="仿宋_GB2312" w:cs="仿宋_GB2312"/>
          <w:b w:val="0"/>
          <w:bCs/>
          <w:color w:val="auto"/>
          <w:kern w:val="0"/>
          <w:sz w:val="28"/>
          <w:szCs w:val="28"/>
          <w:lang w:val="en-US" w:eastAsia="zh-TW"/>
        </w:rPr>
        <w:t>对</w:t>
      </w:r>
      <w:r>
        <w:rPr>
          <w:rFonts w:hint="eastAsia" w:ascii="仿宋_GB2312" w:hAnsi="仿宋_GB2312" w:eastAsia="仿宋_GB2312" w:cs="仿宋_GB2312"/>
          <w:b w:val="0"/>
          <w:bCs/>
          <w:color w:val="auto"/>
          <w:kern w:val="0"/>
          <w:sz w:val="28"/>
          <w:szCs w:val="28"/>
          <w:lang w:val="en-US" w:eastAsia="zh-CN"/>
        </w:rPr>
        <w:t>陕西省干线公路沿线</w:t>
      </w:r>
      <w:r>
        <w:rPr>
          <w:rFonts w:hint="eastAsia" w:ascii="仿宋_GB2312" w:hAnsi="仿宋_GB2312" w:eastAsia="仿宋_GB2312" w:cs="仿宋_GB2312"/>
          <w:b w:val="0"/>
          <w:bCs/>
          <w:color w:val="auto"/>
          <w:kern w:val="0"/>
          <w:sz w:val="28"/>
          <w:szCs w:val="28"/>
          <w:lang w:val="en-US" w:eastAsia="zh-TW"/>
        </w:rPr>
        <w:t>开展</w:t>
      </w:r>
      <w:r>
        <w:rPr>
          <w:rFonts w:hint="eastAsia" w:ascii="仿宋_GB2312" w:hAnsi="仿宋_GB2312" w:eastAsia="仿宋_GB2312" w:cs="仿宋_GB2312"/>
          <w:b w:val="0"/>
          <w:bCs/>
          <w:color w:val="auto"/>
          <w:kern w:val="0"/>
          <w:sz w:val="28"/>
          <w:szCs w:val="28"/>
          <w:lang w:val="en-US" w:eastAsia="zh-CN"/>
        </w:rPr>
        <w:t>遥感</w:t>
      </w:r>
      <w:r>
        <w:rPr>
          <w:rFonts w:hint="eastAsia" w:ascii="仿宋_GB2312" w:hAnsi="仿宋_GB2312" w:eastAsia="仿宋_GB2312" w:cs="仿宋_GB2312"/>
          <w:b w:val="0"/>
          <w:bCs/>
          <w:color w:val="auto"/>
          <w:kern w:val="0"/>
          <w:sz w:val="28"/>
          <w:szCs w:val="28"/>
          <w:lang w:val="en-US" w:eastAsia="zh-TW"/>
        </w:rPr>
        <w:t>地质灾害风险隐患</w:t>
      </w:r>
      <w:r>
        <w:rPr>
          <w:rFonts w:hint="eastAsia" w:ascii="仿宋_GB2312" w:hAnsi="仿宋_GB2312" w:eastAsia="仿宋_GB2312" w:cs="仿宋_GB2312"/>
          <w:b w:val="0"/>
          <w:bCs/>
          <w:color w:val="auto"/>
          <w:kern w:val="0"/>
          <w:sz w:val="28"/>
          <w:szCs w:val="28"/>
          <w:lang w:val="en-US" w:eastAsia="zh-CN"/>
        </w:rPr>
        <w:t>排查，以及对陕西重点区域的（高速公路和普通国省干线公路两侧5公里范围内地质灾害风险路段）精细化扫描，提升地质灾害隐患的早期识别能力，为公路养护管理、灾害预警及应急响应提供有力支持。以上工作遥感数据分辨率不低于3米，</w:t>
      </w:r>
      <w:r>
        <w:rPr>
          <w:rFonts w:hint="eastAsia" w:ascii="仿宋_GB2312" w:hAnsi="仿宋_GB2312" w:eastAsia="仿宋_GB2312" w:cs="仿宋_GB2312"/>
          <w:b w:val="0"/>
          <w:bCs/>
          <w:color w:val="auto"/>
          <w:kern w:val="0"/>
          <w:sz w:val="28"/>
          <w:szCs w:val="28"/>
          <w:lang w:val="en-US" w:eastAsia="zh-TW"/>
        </w:rPr>
        <w:t>根据</w:t>
      </w:r>
      <w:r>
        <w:rPr>
          <w:rFonts w:hint="eastAsia" w:ascii="仿宋_GB2312" w:hAnsi="仿宋_GB2312" w:eastAsia="仿宋_GB2312" w:cs="仿宋_GB2312"/>
          <w:b w:val="0"/>
          <w:bCs/>
          <w:color w:val="auto"/>
          <w:kern w:val="0"/>
          <w:sz w:val="28"/>
          <w:szCs w:val="28"/>
          <w:lang w:val="en-US" w:eastAsia="zh-CN"/>
        </w:rPr>
        <w:t>以上监测</w:t>
      </w:r>
      <w:r>
        <w:rPr>
          <w:rFonts w:hint="eastAsia" w:ascii="仿宋_GB2312" w:hAnsi="仿宋_GB2312" w:eastAsia="仿宋_GB2312" w:cs="仿宋_GB2312"/>
          <w:b w:val="0"/>
          <w:bCs/>
          <w:color w:val="auto"/>
          <w:kern w:val="0"/>
          <w:sz w:val="28"/>
          <w:szCs w:val="28"/>
          <w:lang w:val="en-US" w:eastAsia="zh-TW"/>
        </w:rPr>
        <w:t>数据</w:t>
      </w:r>
      <w:r>
        <w:rPr>
          <w:rFonts w:hint="eastAsia" w:ascii="仿宋_GB2312" w:hAnsi="仿宋_GB2312" w:eastAsia="仿宋_GB2312" w:cs="仿宋_GB2312"/>
          <w:b w:val="0"/>
          <w:bCs/>
          <w:color w:val="auto"/>
          <w:kern w:val="0"/>
          <w:sz w:val="28"/>
          <w:szCs w:val="28"/>
          <w:lang w:val="en-US" w:eastAsia="zh-CN"/>
        </w:rPr>
        <w:t>及分析成果，</w:t>
      </w:r>
      <w:r>
        <w:rPr>
          <w:rFonts w:hint="eastAsia" w:ascii="仿宋_GB2312" w:hAnsi="仿宋_GB2312" w:eastAsia="仿宋_GB2312" w:cs="仿宋_GB2312"/>
          <w:b w:val="0"/>
          <w:bCs/>
          <w:color w:val="auto"/>
          <w:kern w:val="0"/>
          <w:sz w:val="28"/>
          <w:szCs w:val="28"/>
          <w:lang w:val="en-US" w:eastAsia="zh-TW"/>
        </w:rPr>
        <w:t>形成</w:t>
      </w:r>
      <w:r>
        <w:rPr>
          <w:rFonts w:hint="eastAsia" w:ascii="仿宋_GB2312" w:hAnsi="仿宋_GB2312" w:eastAsia="仿宋_GB2312" w:cs="仿宋_GB2312"/>
          <w:b w:val="0"/>
          <w:bCs/>
          <w:color w:val="auto"/>
          <w:kern w:val="0"/>
          <w:sz w:val="28"/>
          <w:szCs w:val="28"/>
          <w:lang w:val="en-US" w:eastAsia="zh-CN"/>
        </w:rPr>
        <w:t>监测报告与</w:t>
      </w:r>
      <w:r>
        <w:rPr>
          <w:rFonts w:hint="eastAsia" w:ascii="仿宋_GB2312" w:hAnsi="仿宋_GB2312" w:eastAsia="仿宋_GB2312" w:cs="仿宋_GB2312"/>
          <w:b w:val="0"/>
          <w:bCs/>
          <w:color w:val="auto"/>
          <w:kern w:val="0"/>
          <w:sz w:val="28"/>
          <w:szCs w:val="28"/>
          <w:lang w:val="en-US" w:eastAsia="zh-TW"/>
        </w:rPr>
        <w:t>风险隐患台账。</w:t>
      </w:r>
    </w:p>
    <w:p w14:paraId="1527514D">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六</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val="en-US" w:eastAsia="zh-CN"/>
        </w:rPr>
        <w:t>其他</w:t>
      </w:r>
      <w:r>
        <w:rPr>
          <w:rFonts w:hint="eastAsia" w:ascii="国标仿宋-GB/T 2312" w:hAnsi="国标仿宋-GB/T 2312" w:eastAsia="国标仿宋-GB/T 2312" w:cs="国标仿宋-GB/T 2312"/>
          <w:b/>
          <w:bCs/>
          <w:color w:val="auto"/>
          <w:sz w:val="28"/>
          <w:szCs w:val="28"/>
          <w:highlight w:val="none"/>
        </w:rPr>
        <w:t>要求</w:t>
      </w:r>
    </w:p>
    <w:p w14:paraId="10D49259">
      <w:pPr>
        <w:pageBreakBefore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rPr>
      </w:pPr>
      <w:r>
        <w:rPr>
          <w:rFonts w:hint="eastAsia" w:ascii="国标仿宋-GB/T 2312" w:hAnsi="国标仿宋-GB/T 2312" w:eastAsia="国标仿宋-GB/T 2312" w:cs="国标仿宋-GB/T 2312"/>
          <w:color w:val="auto"/>
          <w:sz w:val="28"/>
          <w:szCs w:val="28"/>
          <w:highlight w:val="none"/>
        </w:rPr>
        <w:t>满足交通运输部、陕西省交通运输主管部门印发的规范性文件以及招标文件相关技术要求。</w:t>
      </w:r>
    </w:p>
    <w:p w14:paraId="414565EB">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七</w:t>
      </w:r>
      <w:r>
        <w:rPr>
          <w:rFonts w:hint="eastAsia" w:ascii="国标仿宋-GB/T 2312" w:hAnsi="国标仿宋-GB/T 2312" w:eastAsia="国标仿宋-GB/T 2312" w:cs="国标仿宋-GB/T 2312"/>
          <w:b/>
          <w:bCs/>
          <w:color w:val="auto"/>
          <w:sz w:val="28"/>
          <w:szCs w:val="28"/>
          <w:highlight w:val="none"/>
        </w:rPr>
        <w:t>、售后服务</w:t>
      </w:r>
      <w:r>
        <w:rPr>
          <w:rFonts w:hint="eastAsia" w:ascii="国标仿宋-GB/T 2312" w:hAnsi="国标仿宋-GB/T 2312" w:eastAsia="国标仿宋-GB/T 2312" w:cs="国标仿宋-GB/T 2312"/>
          <w:b/>
          <w:bCs/>
          <w:color w:val="auto"/>
          <w:sz w:val="28"/>
          <w:szCs w:val="28"/>
          <w:highlight w:val="none"/>
          <w:lang w:val="en-US" w:eastAsia="zh-CN"/>
        </w:rPr>
        <w:t>(根据项目内容自行确定是否需要）</w:t>
      </w:r>
    </w:p>
    <w:p w14:paraId="6F8218C4">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技术支持和售后服务由乙方严格按响应文件及有关承诺执行，服务响应时间为工作日08:30-18:00，紧急问题需在4小时内响应，如有需要48小时内到达甲方指定办公地点现场解决问题。</w:t>
      </w:r>
    </w:p>
    <w:p w14:paraId="06E26022">
      <w:pPr>
        <w:keepNext w:val="0"/>
        <w:keepLines w:val="0"/>
        <w:pageBreakBefore w:val="0"/>
        <w:wordWrap/>
        <w:overflowPunct/>
        <w:topLinePunct w:val="0"/>
        <w:autoSpaceDE/>
        <w:autoSpaceDN/>
        <w:bidi w:val="0"/>
        <w:adjustRightInd/>
        <w:spacing w:line="560" w:lineRule="exact"/>
        <w:ind w:firstLine="560" w:firstLineChars="200"/>
        <w:textAlignment w:val="auto"/>
        <w:rPr>
          <w:rFonts w:hint="default" w:ascii="国标仿宋-GB/T 2312" w:hAnsi="国标仿宋-GB/T 2312" w:eastAsia="国标仿宋-GB/T 2312" w:cs="国标仿宋-GB/T 2312"/>
          <w:sz w:val="28"/>
          <w:szCs w:val="28"/>
          <w:lang w:val="en-US" w:eastAsia="zh-CN"/>
        </w:rPr>
      </w:pPr>
      <w:r>
        <w:rPr>
          <w:rFonts w:hint="eastAsia" w:ascii="国标仿宋-GB/T 2312" w:hAnsi="国标仿宋-GB/T 2312" w:eastAsia="国标仿宋-GB/T 2312" w:cs="国标仿宋-GB/T 2312"/>
          <w:sz w:val="28"/>
          <w:szCs w:val="28"/>
        </w:rPr>
        <w:t>售后服务联系方式:</w:t>
      </w:r>
      <w:r>
        <w:rPr>
          <w:rFonts w:hint="eastAsia" w:ascii="国标仿宋-GB/T 2312" w:hAnsi="国标仿宋-GB/T 2312" w:eastAsia="国标仿宋-GB/T 2312" w:cs="国标仿宋-GB/T 2312"/>
          <w:sz w:val="28"/>
          <w:szCs w:val="28"/>
          <w:u w:val="single"/>
          <w:lang w:val="en-US" w:eastAsia="zh-CN"/>
        </w:rPr>
        <w:t xml:space="preserve">                 </w:t>
      </w:r>
    </w:p>
    <w:p w14:paraId="3936BBB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如因乙方自身原因或不能履行售后服务义务,经甲方书面催告后仍不履行的，甲方有权委托第三方处理，由此产生的费用和风险由乙方承担。</w:t>
      </w:r>
    </w:p>
    <w:p w14:paraId="47F9CFEC">
      <w:pPr>
        <w:pageBreakBefore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eastAsia="zh-CN"/>
        </w:rPr>
      </w:pPr>
      <w:r>
        <w:rPr>
          <w:rFonts w:hint="eastAsia" w:ascii="国标仿宋-GB/T 2312" w:hAnsi="国标仿宋-GB/T 2312" w:eastAsia="国标仿宋-GB/T 2312" w:cs="国标仿宋-GB/T 2312"/>
          <w:b/>
          <w:bCs/>
          <w:color w:val="auto"/>
          <w:sz w:val="28"/>
          <w:szCs w:val="28"/>
          <w:highlight w:val="none"/>
          <w:lang w:val="en-US" w:eastAsia="zh-CN"/>
        </w:rPr>
        <w:t>八</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eastAsia="zh-CN"/>
        </w:rPr>
        <w:t>验收</w:t>
      </w:r>
    </w:p>
    <w:p w14:paraId="0E2640C8">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601DB8B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（二）甲方收到乙方的验收申请后，组织乙方（必要时请有关专家）进行项目验收。乙方提交合同履约情况总结报告，并经甲方确认。验收合格后，填写项目验收单作为对项目的最终认可。</w:t>
      </w:r>
    </w:p>
    <w:p w14:paraId="48D74470">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（三）验收依据：1.本合同及附件文本；2.竞争性磋商文件、磋商响应文件、澄清表（函）；3.国家相应的标准、规范。</w:t>
      </w:r>
    </w:p>
    <w:p w14:paraId="2E9BC146">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sz w:val="28"/>
          <w:szCs w:val="28"/>
          <w:lang w:val="en-US" w:eastAsia="zh-CN"/>
        </w:rPr>
        <w:t>若</w:t>
      </w:r>
      <w:r>
        <w:rPr>
          <w:rFonts w:hint="eastAsia" w:ascii="国标仿宋-GB/T 2312" w:hAnsi="国标仿宋-GB/T 2312" w:eastAsia="国标仿宋-GB/T 2312" w:cs="国标仿宋-GB/T 2312"/>
          <w:sz w:val="28"/>
          <w:szCs w:val="28"/>
        </w:rPr>
        <w:t>技术审查、验收不合格</w:t>
      </w:r>
      <w:r>
        <w:rPr>
          <w:rFonts w:hint="eastAsia" w:ascii="国标仿宋-GB/T 2312" w:hAnsi="国标仿宋-GB/T 2312" w:eastAsia="国标仿宋-GB/T 2312" w:cs="国标仿宋-GB/T 2312"/>
          <w:sz w:val="28"/>
          <w:szCs w:val="28"/>
          <w:lang w:eastAsia="zh-CN"/>
        </w:rPr>
        <w:t>，</w:t>
      </w:r>
      <w:r>
        <w:rPr>
          <w:rFonts w:hint="eastAsia" w:ascii="国标仿宋-GB/T 2312" w:hAnsi="国标仿宋-GB/T 2312" w:eastAsia="国标仿宋-GB/T 2312" w:cs="国标仿宋-GB/T 2312"/>
          <w:sz w:val="28"/>
          <w:szCs w:val="28"/>
          <w:lang w:val="en-US" w:eastAsia="zh-CN"/>
        </w:rPr>
        <w:t>乙方应</w:t>
      </w:r>
      <w:r>
        <w:rPr>
          <w:rFonts w:hint="eastAsia" w:ascii="国标仿宋-GB/T 2312" w:hAnsi="国标仿宋-GB/T 2312" w:eastAsia="国标仿宋-GB/T 2312" w:cs="国标仿宋-GB/T 2312"/>
          <w:sz w:val="28"/>
          <w:szCs w:val="28"/>
        </w:rPr>
        <w:t>限期整改，整改过程中产生的一切费用和损失由乙方承担。整改超过二次的，甲方有权单方解除本合同，乙方应无条件退还已收取的全部合同价款，给甲方造成损失的应予以赔偿，且乙方应按</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的10%向甲方支付违约金。</w:t>
      </w:r>
    </w:p>
    <w:p w14:paraId="3FB13197">
      <w:pPr>
        <w:pageBreakBefore w:val="0"/>
        <w:tabs>
          <w:tab w:val="left" w:pos="980"/>
        </w:tabs>
        <w:kinsoku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九、保密</w:t>
      </w:r>
    </w:p>
    <w:p w14:paraId="66EB71A9">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7821E9BE">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乙方违反保密规定的，除承担法律责任外，还应向甲方支付合同总金额%的违约金，给甲方造成损失的，乙方还应予以赔偿。</w:t>
      </w:r>
    </w:p>
    <w:p w14:paraId="376FC91D">
      <w:pPr>
        <w:pageBreakBefore w:val="0"/>
        <w:tabs>
          <w:tab w:val="left" w:pos="980"/>
        </w:tabs>
        <w:kinsoku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十、知识产权</w:t>
      </w:r>
    </w:p>
    <w:p w14:paraId="3D249D06">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的违约金，给甲方造成损失的，乙方应予以赔偿。</w:t>
      </w:r>
    </w:p>
    <w:p w14:paraId="5FA4C293">
      <w:pPr>
        <w:pStyle w:val="3"/>
        <w:spacing w:line="560" w:lineRule="exact"/>
        <w:ind w:firstLine="562" w:firstLineChars="200"/>
        <w:rPr>
          <w:rFonts w:hint="eastAsia" w:ascii="国标仿宋-GB/T 2312" w:hAnsi="国标仿宋-GB/T 2312" w:eastAsia="国标仿宋-GB/T 2312" w:cs="国标仿宋-GB/T 2312"/>
          <w:highlight w:val="none"/>
          <w:lang w:eastAsia="zh-CN"/>
        </w:rPr>
      </w:pPr>
      <w:r>
        <w:rPr>
          <w:rFonts w:hint="eastAsia" w:ascii="国标仿宋-GB/T 2312" w:hAnsi="国标仿宋-GB/T 2312" w:eastAsia="国标仿宋-GB/T 2312" w:cs="国标仿宋-GB/T 2312"/>
          <w:b/>
          <w:bCs/>
          <w:color w:val="auto"/>
          <w:sz w:val="28"/>
          <w:szCs w:val="28"/>
          <w:highlight w:val="none"/>
          <w:lang w:val="en-US" w:eastAsia="zh-CN"/>
        </w:rPr>
        <w:t>十一、违约责任</w:t>
      </w:r>
    </w:p>
    <w:p w14:paraId="703DBFAE">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（一）甲乙双方必须遵守本合同并执行合同中的各项规定，保证本合同的正常履行。</w:t>
      </w:r>
    </w:p>
    <w:p w14:paraId="1CB1E47F">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3796C88">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6D654E53">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bookmarkStart w:id="0" w:name="_Hlk202861235"/>
      <w:r>
        <w:rPr>
          <w:rFonts w:hint="eastAsia" w:ascii="国标仿宋-GB/T 2312" w:hAnsi="国标仿宋-GB/T 2312" w:eastAsia="国标仿宋-GB/T 2312" w:cs="国标仿宋-GB/T 2312"/>
          <w:sz w:val="28"/>
          <w:szCs w:val="28"/>
        </w:rPr>
        <w:t>（四）乙方逾期完成服务的，每逾期一日，向甲方承担合同总价款</w:t>
      </w:r>
      <w:r>
        <w:rPr>
          <w:rFonts w:hint="eastAsia" w:ascii="国标仿宋-GB/T 2312" w:hAnsi="国标仿宋-GB/T 2312" w:eastAsia="国标仿宋-GB/T 2312" w:cs="国标仿宋-GB/T 2312"/>
          <w:sz w:val="28"/>
          <w:szCs w:val="28"/>
          <w:u w:val="single"/>
          <w:lang w:val="en-US" w:eastAsia="zh-CN"/>
        </w:rPr>
        <w:t>0.05</w:t>
      </w:r>
      <w:r>
        <w:rPr>
          <w:rFonts w:hint="eastAsia" w:ascii="国标仿宋-GB/T 2312" w:hAnsi="国标仿宋-GB/T 2312" w:eastAsia="国标仿宋-GB/T 2312" w:cs="国标仿宋-GB/T 2312"/>
          <w:sz w:val="28"/>
          <w:szCs w:val="28"/>
        </w:rPr>
        <w:t>%的违约金，逾期30日的，甲方有权单方解除本合同且保留追究乙方违约责任的权利，给甲方造成损失的，乙方还应予以赔偿。</w:t>
      </w:r>
    </w:p>
    <w:p w14:paraId="3A34C750">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（五）乙方应保证其提交的服务成果不存在侵犯他人权益的情形，否则，因此引发的责任及纠纷由乙方承担，对甲方造成损失的，乙方应予以赔偿，此外，乙方还应向甲方承担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lang w:val="en-US" w:eastAsia="zh-CN"/>
        </w:rPr>
        <w:t>5</w:t>
      </w:r>
      <w:r>
        <w:rPr>
          <w:rFonts w:hint="eastAsia" w:ascii="国标仿宋-GB/T 2312" w:hAnsi="国标仿宋-GB/T 2312" w:eastAsia="国标仿宋-GB/T 2312" w:cs="国标仿宋-GB/T 2312"/>
          <w:sz w:val="28"/>
          <w:szCs w:val="28"/>
        </w:rPr>
        <w:t>%的违约金。</w:t>
      </w:r>
    </w:p>
    <w:bookmarkEnd w:id="0"/>
    <w:p w14:paraId="506CEAC6">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（六）乙方应对其服务及服务成果的合法性、科学性、有效性、客观性、真实性负责，否则，相关责任及纠纷由乙方承担，对甲方造成损失的，乙方应予赔偿，此外，乙方还应向甲方承担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rPr>
        <w:t>10</w:t>
      </w:r>
      <w:r>
        <w:rPr>
          <w:rFonts w:hint="eastAsia" w:ascii="国标仿宋-GB/T 2312" w:hAnsi="国标仿宋-GB/T 2312" w:eastAsia="国标仿宋-GB/T 2312" w:cs="国标仿宋-GB/T 2312"/>
          <w:sz w:val="28"/>
          <w:szCs w:val="28"/>
        </w:rPr>
        <w:t>%的违约金。</w:t>
      </w:r>
    </w:p>
    <w:p w14:paraId="6EFD00CE">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七）乙方在为甲方提供服务过程中所产生的所有成果，包括但不限于报告、方案、设计、软件等，其知识产权归甲方所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34B6DCBA">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八）若一方违反合同约定，除按照合同约定承担违约金外，对另一方方造成损失的，违约方还应予以赔偿。一方因另一方违约而产生的维权费用，包括但不限于诉讼费、律师费、保全费、鉴定费、评估费、公证费、差旅费等费用，均由乙方承担。</w:t>
      </w:r>
    </w:p>
    <w:p w14:paraId="60BA6228">
      <w:pPr>
        <w:pageBreakBefore w:val="0"/>
        <w:tabs>
          <w:tab w:val="left" w:pos="980"/>
        </w:tabs>
        <w:kinsoku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十二、合同争议的解决</w:t>
      </w:r>
    </w:p>
    <w:p w14:paraId="481D1624">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58684A2">
      <w:pPr>
        <w:pageBreakBefore w:val="0"/>
        <w:tabs>
          <w:tab w:val="left" w:pos="980"/>
        </w:tabs>
        <w:kinsoku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十三、不可抗力情况下的免责约定</w:t>
      </w:r>
    </w:p>
    <w:p w14:paraId="5AF9C38F">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1A869A05">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（一）在合同有效期内，任何一方因不可抗力事件导致不能履行合同，则合同履行期可延长，其延长期与不可抗力影响期相同。</w:t>
      </w:r>
    </w:p>
    <w:p w14:paraId="292BDE2A">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（二）不可抗力事件发生后，应立即通知对方，并寄送有关权威机构出具的证明。</w:t>
      </w:r>
    </w:p>
    <w:p w14:paraId="59AC3B8D">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（三）不可抗力事件延续60天以上，双方应通过友好协商，确定是否继续履行合同。</w:t>
      </w:r>
    </w:p>
    <w:p w14:paraId="0BDDD417">
      <w:pPr>
        <w:pageBreakBefore w:val="0"/>
        <w:tabs>
          <w:tab w:val="left" w:pos="980"/>
        </w:tabs>
        <w:kinsoku w:val="0"/>
        <w:wordWrap/>
        <w:overflowPunct/>
        <w:topLinePunct w:val="0"/>
        <w:autoSpaceDE/>
        <w:autoSpaceDN/>
        <w:bidi w:val="0"/>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十四、合同订立</w:t>
      </w:r>
    </w:p>
    <w:p w14:paraId="0D52A4E3">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B9782F8">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7D2ACCB6">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（三）本合同自双方的法定代表人（负责人）或授权代表签字并加盖单位公章之日起生效。</w:t>
      </w:r>
    </w:p>
    <w:p w14:paraId="4390C163">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r>
        <w:rPr>
          <w:rFonts w:hint="eastAsia" w:ascii="国标仿宋-GB/T 2312" w:hAnsi="国标仿宋-GB/T 2312" w:eastAsia="国标仿宋-GB/T 2312" w:cs="国标仿宋-GB/T 2312"/>
          <w:color w:val="auto"/>
          <w:sz w:val="28"/>
          <w:szCs w:val="28"/>
          <w:highlight w:val="none"/>
          <w:lang w:val="en-US" w:eastAsia="zh-CN"/>
        </w:rPr>
        <w:t>（四）本合同一式</w:t>
      </w:r>
      <w:r>
        <w:rPr>
          <w:rFonts w:hint="eastAsia" w:ascii="国标仿宋-GB/T 2312" w:hAnsi="国标仿宋-GB/T 2312" w:eastAsia="国标仿宋-GB/T 2312" w:cs="国标仿宋-GB/T 2312"/>
          <w:color w:val="auto"/>
          <w:sz w:val="28"/>
          <w:szCs w:val="28"/>
          <w:highlight w:val="none"/>
          <w:u w:val="single"/>
          <w:lang w:val="en-US" w:eastAsia="zh-CN"/>
        </w:rPr>
        <w:t>捌</w:t>
      </w:r>
      <w:r>
        <w:rPr>
          <w:rFonts w:hint="eastAsia" w:ascii="国标仿宋-GB/T 2312" w:hAnsi="国标仿宋-GB/T 2312" w:eastAsia="国标仿宋-GB/T 2312" w:cs="国标仿宋-GB/T 2312"/>
          <w:color w:val="auto"/>
          <w:sz w:val="28"/>
          <w:szCs w:val="28"/>
          <w:highlight w:val="none"/>
          <w:lang w:val="en-US" w:eastAsia="zh-CN"/>
        </w:rPr>
        <w:t>份，其中，甲方执</w:t>
      </w:r>
      <w:r>
        <w:rPr>
          <w:rFonts w:hint="eastAsia" w:ascii="国标仿宋-GB/T 2312" w:hAnsi="国标仿宋-GB/T 2312" w:eastAsia="国标仿宋-GB/T 2312" w:cs="国标仿宋-GB/T 2312"/>
          <w:color w:val="auto"/>
          <w:sz w:val="28"/>
          <w:szCs w:val="28"/>
          <w:highlight w:val="none"/>
          <w:u w:val="single"/>
          <w:lang w:val="en-US" w:eastAsia="zh-CN"/>
        </w:rPr>
        <w:t>肆</w:t>
      </w:r>
      <w:r>
        <w:rPr>
          <w:rFonts w:hint="eastAsia" w:ascii="国标仿宋-GB/T 2312" w:hAnsi="国标仿宋-GB/T 2312" w:eastAsia="国标仿宋-GB/T 2312" w:cs="国标仿宋-GB/T 2312"/>
          <w:color w:val="auto"/>
          <w:sz w:val="28"/>
          <w:szCs w:val="28"/>
          <w:highlight w:val="none"/>
          <w:lang w:val="en-US" w:eastAsia="zh-CN"/>
        </w:rPr>
        <w:t>份，乙方执</w:t>
      </w:r>
      <w:r>
        <w:rPr>
          <w:rFonts w:hint="eastAsia" w:ascii="国标仿宋-GB/T 2312" w:hAnsi="国标仿宋-GB/T 2312" w:eastAsia="国标仿宋-GB/T 2312" w:cs="国标仿宋-GB/T 2312"/>
          <w:color w:val="auto"/>
          <w:sz w:val="28"/>
          <w:szCs w:val="28"/>
          <w:highlight w:val="none"/>
          <w:u w:val="single"/>
          <w:lang w:val="en-US" w:eastAsia="zh-CN"/>
        </w:rPr>
        <w:t>肆</w:t>
      </w:r>
      <w:r>
        <w:rPr>
          <w:rFonts w:hint="eastAsia" w:ascii="国标仿宋-GB/T 2312" w:hAnsi="国标仿宋-GB/T 2312" w:eastAsia="国标仿宋-GB/T 2312" w:cs="国标仿宋-GB/T 2312"/>
          <w:color w:val="auto"/>
          <w:sz w:val="28"/>
          <w:szCs w:val="28"/>
          <w:highlight w:val="none"/>
          <w:lang w:val="en-US" w:eastAsia="zh-CN"/>
        </w:rPr>
        <w:t>份，具有同等法律效力。</w:t>
      </w:r>
    </w:p>
    <w:p w14:paraId="50FF28BD">
      <w:pPr>
        <w:pageBreakBefore w:val="0"/>
        <w:widowControl w:val="0"/>
        <w:wordWrap/>
        <w:overflowPunct/>
        <w:topLinePunct w:val="0"/>
        <w:autoSpaceDE/>
        <w:autoSpaceDN/>
        <w:bidi w:val="0"/>
        <w:spacing w:line="560" w:lineRule="exact"/>
        <w:jc w:val="both"/>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p>
    <w:p w14:paraId="24FFE84E">
      <w:pPr>
        <w:pageBreakBefore w:val="0"/>
        <w:widowControl w:val="0"/>
        <w:wordWrap/>
        <w:overflowPunct/>
        <w:topLinePunct w:val="0"/>
        <w:autoSpaceDE/>
        <w:autoSpaceDN/>
        <w:bidi w:val="0"/>
        <w:spacing w:line="560" w:lineRule="exact"/>
        <w:jc w:val="both"/>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p>
    <w:p w14:paraId="46D7F3B2">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甲方：</w:t>
      </w:r>
      <w:r>
        <w:rPr>
          <w:rFonts w:hint="eastAsia" w:ascii="国标仿宋-GB/T 2312" w:hAnsi="国标仿宋-GB/T 2312" w:eastAsia="国标仿宋-GB/T 2312" w:cs="国标仿宋-GB/T 2312"/>
          <w:color w:val="auto"/>
          <w:sz w:val="28"/>
          <w:szCs w:val="28"/>
          <w:highlight w:val="none"/>
          <w:u w:val="single"/>
          <w:lang w:val="en-US" w:eastAsia="zh-CN"/>
        </w:rPr>
        <w:t>陕西省公路局（盖章）</w:t>
      </w:r>
    </w:p>
    <w:p w14:paraId="0A199A9D">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地址：陕西省西安市碑林区含光北路110号</w:t>
      </w:r>
    </w:p>
    <w:p w14:paraId="323E35C2">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开户行及账号：611301033018010000003</w:t>
      </w:r>
    </w:p>
    <w:p w14:paraId="57F1B08B">
      <w:pPr>
        <w:pageBreakBefore w:val="0"/>
        <w:tabs>
          <w:tab w:val="left" w:pos="980"/>
        </w:tabs>
        <w:kinsoku w:val="0"/>
        <w:wordWrap/>
        <w:overflowPunct/>
        <w:topLinePunct w:val="0"/>
        <w:autoSpaceDE/>
        <w:autoSpaceDN/>
        <w:bidi w:val="0"/>
        <w:spacing w:line="560" w:lineRule="exact"/>
        <w:ind w:firstLine="3360" w:firstLineChars="1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交通银行西安城南支行</w:t>
      </w:r>
    </w:p>
    <w:p w14:paraId="433B7974">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法定代表人或其授权</w:t>
      </w:r>
    </w:p>
    <w:p w14:paraId="7787678B">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lang w:val="en-US" w:eastAsia="zh-CN"/>
        </w:rPr>
        <w:t>的代理人：（签字）</w:t>
      </w:r>
    </w:p>
    <w:p w14:paraId="696AACCA">
      <w:pPr>
        <w:pageBreakBefore w:val="0"/>
        <w:widowControl w:val="0"/>
        <w:shd w:val="clear"/>
        <w:kinsoku/>
        <w:wordWrap/>
        <w:overflowPunct/>
        <w:topLinePunct w:val="0"/>
        <w:autoSpaceDE/>
        <w:autoSpaceDN/>
        <w:bidi w:val="0"/>
        <w:adjustRightInd/>
        <w:snapToGrid/>
        <w:spacing w:line="560" w:lineRule="exact"/>
        <w:ind w:left="4612" w:leftChars="697" w:hanging="2660" w:hangingChars="95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Hans"/>
        </w:rPr>
        <w:t>年</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43ED3518">
      <w:pPr>
        <w:pageBreakBefore w:val="0"/>
        <w:widowControl w:val="0"/>
        <w:shd w:val="clear"/>
        <w:kinsoku/>
        <w:wordWrap/>
        <w:overflowPunct/>
        <w:topLinePunct w:val="0"/>
        <w:autoSpaceDE/>
        <w:autoSpaceDN/>
        <w:bidi w:val="0"/>
        <w:adjustRightInd/>
        <w:snapToGrid/>
        <w:spacing w:line="560" w:lineRule="exact"/>
        <w:ind w:firstLine="420"/>
        <w:textAlignment w:val="auto"/>
        <w:rPr>
          <w:rFonts w:hint="eastAsia" w:ascii="国标仿宋-GB/T 2312" w:hAnsi="国标仿宋-GB/T 2312" w:eastAsia="国标仿宋-GB/T 2312" w:cs="国标仿宋-GB/T 2312"/>
          <w:color w:val="auto"/>
          <w:sz w:val="28"/>
          <w:szCs w:val="28"/>
          <w:highlight w:val="none"/>
          <w:lang w:val="en-US" w:eastAsia="zh-Hans"/>
        </w:rPr>
      </w:pPr>
    </w:p>
    <w:p w14:paraId="6FAAC4D4">
      <w:pPr>
        <w:pStyle w:val="7"/>
        <w:pageBreakBefore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rPr>
      </w:pPr>
      <w:r>
        <w:rPr>
          <w:rFonts w:hint="eastAsia" w:ascii="国标仿宋-GB/T 2312" w:hAnsi="国标仿宋-GB/T 2312" w:eastAsia="国标仿宋-GB/T 2312" w:cs="国标仿宋-GB/T 2312"/>
          <w:color w:val="auto"/>
          <w:sz w:val="28"/>
          <w:szCs w:val="28"/>
          <w:highlight w:val="none"/>
          <w:lang w:val="en-US" w:eastAsia="zh-CN"/>
        </w:rPr>
        <w:t>乙方</w:t>
      </w:r>
      <w:r>
        <w:rPr>
          <w:rFonts w:hint="eastAsia" w:ascii="国标仿宋-GB/T 2312" w:hAnsi="国标仿宋-GB/T 2312" w:eastAsia="国标仿宋-GB/T 2312" w:cs="国标仿宋-GB/T 2312"/>
          <w:color w:val="auto"/>
          <w:sz w:val="28"/>
          <w:szCs w:val="28"/>
          <w:highlight w:val="none"/>
        </w:rPr>
        <w:t>：</w:t>
      </w:r>
      <w:r>
        <w:rPr>
          <w:rFonts w:hint="eastAsia" w:ascii="国标仿宋-GB/T 2312" w:hAnsi="国标仿宋-GB/T 2312" w:eastAsia="国标仿宋-GB/T 2312" w:cs="国标仿宋-GB/T 2312"/>
          <w:color w:val="auto"/>
          <w:sz w:val="28"/>
          <w:szCs w:val="28"/>
          <w:highlight w:val="none"/>
          <w:u w:val="single"/>
        </w:rPr>
        <w:t>（盖章）</w:t>
      </w:r>
    </w:p>
    <w:p w14:paraId="2A4BB966">
      <w:pPr>
        <w:pStyle w:val="7"/>
        <w:pageBreakBefore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lang w:eastAsia="zh-CN"/>
        </w:rPr>
      </w:pPr>
      <w:r>
        <w:rPr>
          <w:rFonts w:hint="eastAsia" w:ascii="国标仿宋-GB/T 2312" w:hAnsi="国标仿宋-GB/T 2312" w:eastAsia="国标仿宋-GB/T 2312" w:cs="国标仿宋-GB/T 2312"/>
          <w:color w:val="auto"/>
          <w:sz w:val="28"/>
          <w:szCs w:val="28"/>
          <w:highlight w:val="none"/>
        </w:rPr>
        <w:t>地址：</w:t>
      </w:r>
    </w:p>
    <w:p w14:paraId="77FE9AE0">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bCs/>
          <w:color w:val="auto"/>
          <w:sz w:val="28"/>
          <w:szCs w:val="28"/>
          <w:highlight w:val="none"/>
          <w:u w:val="single"/>
          <w:lang w:val="en-US" w:eastAsia="zh-CN" w:bidi="ar"/>
        </w:rPr>
      </w:pPr>
      <w:r>
        <w:rPr>
          <w:rFonts w:hint="eastAsia" w:ascii="国标仿宋-GB/T 2312" w:hAnsi="国标仿宋-GB/T 2312" w:eastAsia="国标仿宋-GB/T 2312" w:cs="国标仿宋-GB/T 2312"/>
          <w:color w:val="auto"/>
          <w:sz w:val="28"/>
          <w:szCs w:val="28"/>
          <w:highlight w:val="none"/>
          <w:lang w:val="en-US" w:eastAsia="zh-CN"/>
        </w:rPr>
        <w:t>开户行：</w:t>
      </w:r>
    </w:p>
    <w:p w14:paraId="3F43A091">
      <w:pPr>
        <w:spacing w:line="560" w:lineRule="exact"/>
        <w:ind w:firstLine="1400" w:firstLineChars="500"/>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bCs/>
          <w:color w:val="auto"/>
          <w:sz w:val="28"/>
          <w:szCs w:val="28"/>
          <w:highlight w:val="none"/>
          <w:lang w:bidi="ar"/>
        </w:rPr>
        <w:t>账号：</w:t>
      </w:r>
    </w:p>
    <w:p w14:paraId="6D305414">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法定代表人或其授权</w:t>
      </w:r>
    </w:p>
    <w:p w14:paraId="6D03D0D5">
      <w:pPr>
        <w:pageBreakBefore w:val="0"/>
        <w:tabs>
          <w:tab w:val="left" w:pos="980"/>
        </w:tabs>
        <w:kinsoku w:val="0"/>
        <w:wordWrap/>
        <w:overflowPunct/>
        <w:topLinePunct w:val="0"/>
        <w:autoSpaceDE/>
        <w:autoSpaceDN/>
        <w:bidi w:val="0"/>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lang w:val="en-US" w:eastAsia="zh-CN"/>
        </w:rPr>
        <w:t>的代理人：（签字）</w:t>
      </w:r>
    </w:p>
    <w:p w14:paraId="2A1CC8E4">
      <w:pPr>
        <w:pageBreakBefore w:val="0"/>
        <w:widowControl w:val="0"/>
        <w:shd w:val="clear"/>
        <w:kinsoku/>
        <w:wordWrap/>
        <w:overflowPunct/>
        <w:topLinePunct w:val="0"/>
        <w:autoSpaceDE/>
        <w:autoSpaceDN/>
        <w:bidi w:val="0"/>
        <w:adjustRightInd/>
        <w:snapToGrid/>
        <w:spacing w:line="560" w:lineRule="exact"/>
        <w:ind w:left="4612" w:leftChars="697" w:hanging="2660" w:hangingChars="95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Hans"/>
        </w:rPr>
        <w:t>年</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423A7D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国标仿宋-GB/T 2312">
    <w:altName w:val="仿宋"/>
    <w:panose1 w:val="020005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73960"/>
    <w:rsid w:val="66DD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4078</Words>
  <Characters>4184</Characters>
  <Lines>0</Lines>
  <Paragraphs>0</Paragraphs>
  <TotalTime>0</TotalTime>
  <ScaleCrop>false</ScaleCrop>
  <LinksUpToDate>false</LinksUpToDate>
  <CharactersWithSpaces>4244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2026-05-28T08:57:00Z</dcterms:created>
  <dc:creator>Administrator</dc:creator>
  <cp:lastModifiedBy>Jun</cp:lastModifiedBy>
  <dcterms:modified xsi:type="dcterms:W3CDTF">2026-05-28T08:59:32Z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eyJoZGlkIjoiNTdiYzNlMzRkZTc3MGM3YjQxNTBlMTcyYWQzMGNlNmQiLCJ1c2VySWQiOiIyNTQ0OTA1OTQifQ==</vt:lpwstr>
  </property>
  <property fmtid="{D5CDD505-2E9C-101B-9397-08002B2CF9AE}" pid="4" name="ICV">
    <vt:lpwstr>BECDC9DB54E246C88992A4F1F9485895_12</vt:lpwstr>
  </property>
</Properties>
</file>