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版本号：JXRZ-HC-2026-071.1B120260616001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2026年山洪灾害防治项目和非工程措施维修养护项目(二次)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JXRZ-HC-2026-071.1B1</w:t>
      </w:r>
      <w:r>
        <w:br/>
      </w:r>
      <w:r>
        <w:br/>
      </w:r>
      <w:r>
        <w:br/>
      </w:r>
    </w:p>
    <w:p>
      <w:pPr>
        <w:pStyle w:val="null3"/>
        <w:jc w:val="center"/>
        <w:outlineLvl w:val="2"/>
      </w:pPr>
      <w:r>
        <w:rPr>
          <w:rFonts w:ascii="仿宋_GB2312" w:hAnsi="仿宋_GB2312" w:cs="仿宋_GB2312" w:eastAsia="仿宋_GB2312"/>
          <w:sz w:val="28"/>
          <w:b/>
        </w:rPr>
        <w:t>西乡县水利局</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西乡县水利局</w:t>
      </w:r>
      <w:r>
        <w:rPr>
          <w:rFonts w:ascii="仿宋_GB2312" w:hAnsi="仿宋_GB2312" w:cs="仿宋_GB2312" w:eastAsia="仿宋_GB2312"/>
        </w:rPr>
        <w:t>委托，拟对</w:t>
      </w:r>
      <w:r>
        <w:rPr>
          <w:rFonts w:ascii="仿宋_GB2312" w:hAnsi="仿宋_GB2312" w:cs="仿宋_GB2312" w:eastAsia="仿宋_GB2312"/>
        </w:rPr>
        <w:t>2026年山洪灾害防治项目和非工程措施维修养护项目(二次)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JXRZ-HC-2026-071.1B1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2026年山洪灾害防治项目和非工程措施维修养护项目(二次)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西乡县现有建设各类山洪灾害监测站点和山洪灾害监测预警预警系统，为了提升山洪防汛减灾能力，需要对现有山洪灾害监测预警站点、县级平台及预警设备全域养护，保障汛期设备上线率不低于 90%，同时需要补充新建自动雨量站和备用信道的，完善“十个一”标准化建设，对县乡村三级预案进行修编，对极高危和高危风险区的进行复核，开展山洪灾害培训及防汛演练等，提升县级群测群防体系，为2026年⼭洪灾害防治⼯作奠定坚实基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采购包1（2026年山洪灾害防治项目和非工程措施维修养护项目）：属于专门面向中小企业采购。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代表：法定代表人参加磋商须提供《法定代表人身份证明》及身份证扫描件；法定代表人授权他人参加磋商，须提供《法定代表人授权委托书》及委托代理人身份证扫描件。供应商需在项目电子化交易系统中按要求上传合法有效的证明资料并进行电子签章；</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供应商需在项目电子化交易系统中按要求上传合法有效的证明资料并进行电子签章；</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需在项目电子化交易系统中按要求上传合法有效的证明资料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西乡县西大街西段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0916-6373836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17709165288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供应商在领取成交通知书前，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西乡县水利局</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根据最终签订的合同内容执行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联系人：杨兰</w:t>
      </w:r>
    </w:p>
    <w:p>
      <w:pPr>
        <w:pStyle w:val="null3"/>
      </w:pPr>
      <w:r>
        <w:rPr>
          <w:rFonts w:ascii="仿宋_GB2312" w:hAnsi="仿宋_GB2312" w:cs="仿宋_GB2312" w:eastAsia="仿宋_GB2312"/>
        </w:rPr>
        <w:t>联系电话：17709165288</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西乡县现有建设各类山洪灾害监测站点和山洪灾害监测预警预警系统，为了提升山洪防汛减灾能力，需要对现有山洪灾害监测预警站点、县级平台及预警设备全域养护，保障汛期设备上线率不低于 90%，同时需要补充新建自动雨量站和备用信道的，完善“十个一”标准化建设，对县乡村三级预案进行修编，对极高危和高危风险区的进行复核，开展山洪灾害培训及防汛演练等，提升县级群测群防体系，为2026年⼭洪灾害防治⼯作奠定坚实基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366,000.00</w:t>
      </w:r>
    </w:p>
    <w:p>
      <w:pPr>
        <w:pStyle w:val="null3"/>
      </w:pPr>
      <w:r>
        <w:rPr>
          <w:rFonts w:ascii="仿宋_GB2312" w:hAnsi="仿宋_GB2312" w:cs="仿宋_GB2312" w:eastAsia="仿宋_GB2312"/>
        </w:rPr>
        <w:t>采购包最高限价（元）: 366,000.00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防灾减灾预警预报服务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标的名称：防灾减灾预警预报服务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jc w:val="both"/>
              <w:outlineLvl w:val="0"/>
            </w:pPr>
            <w:r>
              <w:rPr>
                <w:rFonts w:ascii="仿宋_GB2312" w:hAnsi="仿宋_GB2312" w:cs="仿宋_GB2312" w:eastAsia="仿宋_GB2312"/>
                <w:sz w:val="24"/>
                <w:b/>
                <w:color w:val="000000"/>
              </w:rPr>
              <w:t>一、山洪灾害防治非工程措施维修养护</w:t>
            </w:r>
          </w:p>
          <w:p>
            <w:pPr>
              <w:pStyle w:val="null3"/>
              <w:spacing w:before="105" w:after="105"/>
              <w:jc w:val="left"/>
              <w:outlineLvl w:val="1"/>
            </w:pPr>
            <w:r>
              <w:rPr>
                <w:rFonts w:ascii="仿宋_GB2312" w:hAnsi="仿宋_GB2312" w:cs="仿宋_GB2312" w:eastAsia="仿宋_GB2312"/>
                <w:sz w:val="24"/>
                <w:b/>
              </w:rPr>
              <w:t>（一）山洪灾害监测预警设施设备维护</w:t>
            </w:r>
          </w:p>
          <w:p>
            <w:pPr>
              <w:pStyle w:val="null3"/>
              <w:spacing w:before="255" w:after="255"/>
              <w:ind w:left="720"/>
              <w:jc w:val="both"/>
              <w:outlineLvl w:val="2"/>
            </w:pPr>
            <w:r>
              <w:rPr>
                <w:rFonts w:ascii="仿宋_GB2312" w:hAnsi="仿宋_GB2312" w:cs="仿宋_GB2312" w:eastAsia="仿宋_GB2312"/>
                <w:sz w:val="24"/>
                <w:b/>
              </w:rPr>
              <w:t>1.1视频站点设施维修</w:t>
            </w:r>
          </w:p>
          <w:p>
            <w:pPr>
              <w:pStyle w:val="null3"/>
              <w:ind w:firstLine="480"/>
              <w:jc w:val="both"/>
            </w:pPr>
            <w:r>
              <w:rPr>
                <w:rFonts w:ascii="仿宋_GB2312" w:hAnsi="仿宋_GB2312" w:cs="仿宋_GB2312" w:eastAsia="仿宋_GB2312"/>
                <w:sz w:val="24"/>
              </w:rPr>
              <w:t>自动视频主要由摄像头、编码器、视频存储介质、供电系统、安装基础支架和防雷接地等部分构成。</w:t>
            </w:r>
          </w:p>
          <w:p>
            <w:pPr>
              <w:pStyle w:val="null3"/>
              <w:ind w:firstLine="480"/>
              <w:jc w:val="both"/>
            </w:pPr>
            <w:r>
              <w:rPr>
                <w:rFonts w:ascii="仿宋_GB2312" w:hAnsi="仿宋_GB2312" w:cs="仿宋_GB2312" w:eastAsia="仿宋_GB2312"/>
                <w:sz w:val="24"/>
              </w:rPr>
              <w:t>运行维护内容：设备加电运行、看护、除尘，设备运行状况观察、接口测试；硬件安装、测试、设置，硬件升级，光纤电路的连接测试及维护；支架等零部件更换、故障处理修复等。</w:t>
            </w:r>
          </w:p>
          <w:p>
            <w:pPr>
              <w:pStyle w:val="null3"/>
              <w:spacing w:before="105" w:after="105"/>
              <w:jc w:val="left"/>
              <w:outlineLvl w:val="1"/>
            </w:pPr>
            <w:r>
              <w:rPr>
                <w:rFonts w:ascii="仿宋_GB2312" w:hAnsi="仿宋_GB2312" w:cs="仿宋_GB2312" w:eastAsia="仿宋_GB2312"/>
                <w:sz w:val="24"/>
                <w:b/>
              </w:rPr>
              <w:t>（二）山洪灾害入户预警设施设备维护</w:t>
            </w:r>
          </w:p>
          <w:p>
            <w:pPr>
              <w:pStyle w:val="null3"/>
              <w:ind w:firstLine="480"/>
              <w:jc w:val="both"/>
            </w:pPr>
            <w:r>
              <w:rPr>
                <w:rFonts w:ascii="仿宋_GB2312" w:hAnsi="仿宋_GB2312" w:cs="仿宋_GB2312" w:eastAsia="仿宋_GB2312"/>
                <w:sz w:val="24"/>
              </w:rPr>
              <w:t>入户预警系统设备由简易雨量站、简易水位站、呼叫主机和防汛应答器等设施设备组成，主要包括以下设备：</w:t>
            </w:r>
          </w:p>
          <w:p>
            <w:pPr>
              <w:pStyle w:val="null3"/>
              <w:ind w:firstLine="480"/>
              <w:jc w:val="both"/>
            </w:pPr>
            <w:r>
              <w:rPr>
                <w:rFonts w:ascii="仿宋_GB2312" w:hAnsi="仿宋_GB2312" w:cs="仿宋_GB2312" w:eastAsia="仿宋_GB2312"/>
                <w:sz w:val="24"/>
              </w:rPr>
              <w:t>入户预警设备：包括</w:t>
            </w:r>
            <w:r>
              <w:rPr>
                <w:rFonts w:ascii="仿宋_GB2312" w:hAnsi="仿宋_GB2312" w:cs="仿宋_GB2312" w:eastAsia="仿宋_GB2312"/>
                <w:sz w:val="24"/>
              </w:rPr>
              <w:t>1台呼叫主机及20台防汛应答器，用于发布预警信息及接收住户反馈。</w:t>
            </w:r>
          </w:p>
          <w:p>
            <w:pPr>
              <w:pStyle w:val="null3"/>
              <w:ind w:firstLine="480"/>
              <w:jc w:val="both"/>
            </w:pPr>
            <w:r>
              <w:rPr>
                <w:rFonts w:ascii="仿宋_GB2312" w:hAnsi="仿宋_GB2312" w:cs="仿宋_GB2312" w:eastAsia="仿宋_GB2312"/>
                <w:sz w:val="24"/>
              </w:rPr>
              <w:t>预警监测站点：包括</w:t>
            </w:r>
            <w:r>
              <w:rPr>
                <w:rFonts w:ascii="仿宋_GB2312" w:hAnsi="仿宋_GB2312" w:cs="仿宋_GB2312" w:eastAsia="仿宋_GB2312"/>
                <w:sz w:val="24"/>
              </w:rPr>
              <w:t>1处简易水位站、1处简易雨量站，用于实时采集关键监测数据。</w:t>
            </w:r>
          </w:p>
          <w:p>
            <w:pPr>
              <w:pStyle w:val="null3"/>
              <w:spacing w:before="255" w:after="255"/>
              <w:ind w:left="720"/>
              <w:jc w:val="both"/>
              <w:outlineLvl w:val="2"/>
            </w:pPr>
            <w:r>
              <w:rPr>
                <w:rFonts w:ascii="仿宋_GB2312" w:hAnsi="仿宋_GB2312" w:cs="仿宋_GB2312" w:eastAsia="仿宋_GB2312"/>
                <w:sz w:val="24"/>
                <w:b/>
              </w:rPr>
              <w:t>2.1防汛呼叫主机</w:t>
            </w:r>
          </w:p>
          <w:p>
            <w:pPr>
              <w:pStyle w:val="null3"/>
              <w:ind w:firstLine="480"/>
              <w:jc w:val="both"/>
            </w:pPr>
            <w:r>
              <w:rPr>
                <w:rFonts w:ascii="仿宋_GB2312" w:hAnsi="仿宋_GB2312" w:cs="仿宋_GB2312" w:eastAsia="仿宋_GB2312"/>
                <w:sz w:val="24"/>
              </w:rPr>
              <w:t>运行维护内容：除尘，设备运行状况观察；设备测试、设置，软硬件升级；零部件更换、故障处理修复等。</w:t>
            </w:r>
          </w:p>
          <w:p>
            <w:pPr>
              <w:pStyle w:val="null3"/>
              <w:spacing w:before="255" w:after="255"/>
              <w:ind w:left="720"/>
              <w:jc w:val="both"/>
              <w:outlineLvl w:val="2"/>
            </w:pPr>
            <w:r>
              <w:rPr>
                <w:rFonts w:ascii="仿宋_GB2312" w:hAnsi="仿宋_GB2312" w:cs="仿宋_GB2312" w:eastAsia="仿宋_GB2312"/>
                <w:sz w:val="24"/>
                <w:b/>
              </w:rPr>
              <w:t>2.2防汛应答器</w:t>
            </w:r>
          </w:p>
          <w:p>
            <w:pPr>
              <w:pStyle w:val="null3"/>
              <w:ind w:firstLine="480"/>
              <w:jc w:val="both"/>
            </w:pPr>
            <w:r>
              <w:rPr>
                <w:rFonts w:ascii="仿宋_GB2312" w:hAnsi="仿宋_GB2312" w:cs="仿宋_GB2312" w:eastAsia="仿宋_GB2312"/>
                <w:sz w:val="24"/>
              </w:rPr>
              <w:t>运行维护内容：除尘，设备运行状况观察；设备测试、设置，软硬件升级；零部件更换、故障处理修复等。</w:t>
            </w:r>
          </w:p>
          <w:p>
            <w:pPr>
              <w:pStyle w:val="null3"/>
              <w:spacing w:before="255" w:after="255"/>
              <w:ind w:left="720"/>
              <w:jc w:val="both"/>
              <w:outlineLvl w:val="2"/>
            </w:pPr>
            <w:r>
              <w:rPr>
                <w:rFonts w:ascii="仿宋_GB2312" w:hAnsi="仿宋_GB2312" w:cs="仿宋_GB2312" w:eastAsia="仿宋_GB2312"/>
                <w:sz w:val="24"/>
                <w:b/>
              </w:rPr>
              <w:t>2.3简易水位站</w:t>
            </w:r>
          </w:p>
          <w:p>
            <w:pPr>
              <w:pStyle w:val="null3"/>
              <w:ind w:firstLine="480"/>
              <w:jc w:val="both"/>
            </w:pPr>
            <w:r>
              <w:rPr>
                <w:rFonts w:ascii="仿宋_GB2312" w:hAnsi="仿宋_GB2312" w:cs="仿宋_GB2312" w:eastAsia="仿宋_GB2312"/>
                <w:sz w:val="24"/>
              </w:rPr>
              <w:t>运行维护内容：水位传感器除尘，校准，设备运行状况观察；设备测试、设置，软硬件升级；零部件更换、故障处理修复等。</w:t>
            </w:r>
          </w:p>
          <w:p>
            <w:pPr>
              <w:pStyle w:val="null3"/>
              <w:spacing w:before="255" w:after="255"/>
              <w:ind w:left="720"/>
              <w:jc w:val="both"/>
              <w:outlineLvl w:val="2"/>
            </w:pPr>
            <w:r>
              <w:rPr>
                <w:rFonts w:ascii="仿宋_GB2312" w:hAnsi="仿宋_GB2312" w:cs="仿宋_GB2312" w:eastAsia="仿宋_GB2312"/>
                <w:sz w:val="24"/>
                <w:b/>
              </w:rPr>
              <w:t>2.4简易雨量站</w:t>
            </w:r>
          </w:p>
          <w:p>
            <w:pPr>
              <w:pStyle w:val="null3"/>
              <w:ind w:firstLine="480"/>
              <w:jc w:val="both"/>
            </w:pPr>
            <w:r>
              <w:rPr>
                <w:rFonts w:ascii="仿宋_GB2312" w:hAnsi="仿宋_GB2312" w:cs="仿宋_GB2312" w:eastAsia="仿宋_GB2312"/>
                <w:sz w:val="24"/>
              </w:rPr>
              <w:t>运行维护内容：雨量桶清洁，校准，设备运行状况观察；设备测试、设置，软硬件升级；零部件更换、故障处理修复等。</w:t>
            </w:r>
          </w:p>
          <w:p>
            <w:pPr>
              <w:pStyle w:val="null3"/>
              <w:spacing w:before="105" w:after="105"/>
              <w:jc w:val="left"/>
              <w:outlineLvl w:val="1"/>
            </w:pPr>
            <w:r>
              <w:rPr>
                <w:rFonts w:ascii="仿宋_GB2312" w:hAnsi="仿宋_GB2312" w:cs="仿宋_GB2312" w:eastAsia="仿宋_GB2312"/>
                <w:sz w:val="24"/>
                <w:b/>
              </w:rPr>
              <w:t>（三）山洪灾害监测预警平台设施维护</w:t>
            </w:r>
          </w:p>
          <w:p>
            <w:pPr>
              <w:pStyle w:val="null3"/>
              <w:ind w:firstLine="480"/>
              <w:jc w:val="both"/>
            </w:pPr>
            <w:r>
              <w:rPr>
                <w:rFonts w:ascii="仿宋_GB2312" w:hAnsi="仿宋_GB2312" w:cs="仿宋_GB2312" w:eastAsia="仿宋_GB2312"/>
                <w:sz w:val="24"/>
              </w:rPr>
              <w:t>主要对西乡县水利局机房、值班室的主要硬件设备进行维护，保证核心设备正常运行。</w:t>
            </w:r>
          </w:p>
          <w:p>
            <w:pPr>
              <w:pStyle w:val="null3"/>
              <w:spacing w:before="255" w:after="255"/>
              <w:ind w:left="720"/>
              <w:jc w:val="both"/>
              <w:outlineLvl w:val="2"/>
            </w:pPr>
            <w:r>
              <w:rPr>
                <w:rFonts w:ascii="仿宋_GB2312" w:hAnsi="仿宋_GB2312" w:cs="仿宋_GB2312" w:eastAsia="仿宋_GB2312"/>
                <w:sz w:val="24"/>
                <w:b/>
              </w:rPr>
              <w:t>3</w:t>
            </w:r>
            <w:r>
              <w:rPr>
                <w:rFonts w:ascii="仿宋_GB2312" w:hAnsi="仿宋_GB2312" w:cs="仿宋_GB2312" w:eastAsia="仿宋_GB2312"/>
                <w:sz w:val="24"/>
                <w:b/>
              </w:rPr>
              <w:t>.1   UPS主机</w:t>
            </w:r>
          </w:p>
          <w:p>
            <w:pPr>
              <w:pStyle w:val="null3"/>
              <w:ind w:firstLine="480"/>
              <w:jc w:val="both"/>
            </w:pPr>
            <w:r>
              <w:rPr>
                <w:rFonts w:ascii="仿宋_GB2312" w:hAnsi="仿宋_GB2312" w:cs="仿宋_GB2312" w:eastAsia="仿宋_GB2312"/>
                <w:sz w:val="24"/>
              </w:rPr>
              <w:t>主要对</w:t>
            </w:r>
            <w:r>
              <w:rPr>
                <w:rFonts w:ascii="仿宋_GB2312" w:hAnsi="仿宋_GB2312" w:cs="仿宋_GB2312" w:eastAsia="仿宋_GB2312"/>
                <w:sz w:val="24"/>
              </w:rPr>
              <w:t>UPS主机及配套电池组，保障突发断电情况下关键设备持续供电。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1）UPS电源专用蓄电池</w:t>
            </w:r>
          </w:p>
          <w:p>
            <w:pPr>
              <w:pStyle w:val="null3"/>
              <w:ind w:firstLine="480"/>
              <w:jc w:val="both"/>
            </w:pPr>
            <w:r>
              <w:rPr>
                <w:rFonts w:ascii="仿宋_GB2312" w:hAnsi="仿宋_GB2312" w:cs="仿宋_GB2312" w:eastAsia="仿宋_GB2312"/>
                <w:sz w:val="24"/>
              </w:rPr>
              <w:t>运行维护内容：每月一次均衡充电，日常检测，运行日志填写；设备年检、常规维护，零部件、维护材料消耗；清洁，防静电除尘。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2）UPS电源</w:t>
            </w:r>
          </w:p>
          <w:p>
            <w:pPr>
              <w:pStyle w:val="null3"/>
              <w:ind w:firstLine="480"/>
              <w:jc w:val="both"/>
            </w:pPr>
            <w:r>
              <w:rPr>
                <w:rFonts w:ascii="仿宋_GB2312" w:hAnsi="仿宋_GB2312" w:cs="仿宋_GB2312" w:eastAsia="仿宋_GB2312"/>
                <w:sz w:val="24"/>
              </w:rPr>
              <w:t>运行维护内容：设备日常检测，运行日志填写；设备年检、常规维护，零部件、维护材料消耗；设备清洁，防静电除尘。</w:t>
            </w:r>
          </w:p>
          <w:p>
            <w:pPr>
              <w:pStyle w:val="null3"/>
              <w:spacing w:before="255" w:after="255"/>
              <w:ind w:left="720"/>
              <w:jc w:val="both"/>
              <w:outlineLvl w:val="2"/>
            </w:pPr>
            <w:r>
              <w:rPr>
                <w:rFonts w:ascii="仿宋_GB2312" w:hAnsi="仿宋_GB2312" w:cs="仿宋_GB2312" w:eastAsia="仿宋_GB2312"/>
                <w:sz w:val="24"/>
                <w:b/>
              </w:rPr>
              <w:t>3</w:t>
            </w:r>
            <w:r>
              <w:rPr>
                <w:rFonts w:ascii="仿宋_GB2312" w:hAnsi="仿宋_GB2312" w:cs="仿宋_GB2312" w:eastAsia="仿宋_GB2312"/>
                <w:sz w:val="24"/>
                <w:b/>
              </w:rPr>
              <w:t>.2   服务器</w:t>
            </w:r>
          </w:p>
          <w:p>
            <w:pPr>
              <w:pStyle w:val="null3"/>
              <w:ind w:firstLine="480"/>
              <w:jc w:val="both"/>
            </w:pPr>
            <w:r>
              <w:rPr>
                <w:rFonts w:ascii="仿宋_GB2312" w:hAnsi="仿宋_GB2312" w:cs="仿宋_GB2312" w:eastAsia="仿宋_GB2312"/>
                <w:sz w:val="24"/>
              </w:rPr>
              <w:t>运行维护内容：设备加电运行、看护、除尘，运行日志填写，设备运行状况观察、接口测试；设备硬件测试、设置，备份配置文件；零部件更换，故障处理修复等。</w:t>
            </w:r>
          </w:p>
          <w:p>
            <w:pPr>
              <w:pStyle w:val="null3"/>
              <w:ind w:firstLine="480"/>
              <w:jc w:val="both"/>
            </w:pPr>
            <w:r>
              <w:rPr>
                <w:rFonts w:ascii="仿宋_GB2312" w:hAnsi="仿宋_GB2312" w:cs="仿宋_GB2312" w:eastAsia="仿宋_GB2312"/>
                <w:sz w:val="24"/>
              </w:rPr>
              <w:t>值班办公设备：包括值班用台式电脑、</w:t>
            </w:r>
            <w:r>
              <w:rPr>
                <w:rFonts w:ascii="仿宋_GB2312" w:hAnsi="仿宋_GB2312" w:cs="仿宋_GB2312" w:eastAsia="仿宋_GB2312"/>
                <w:sz w:val="24"/>
              </w:rPr>
              <w:t>75寸指挥调度显示屏，保障日常监控与信息展示。</w:t>
            </w:r>
          </w:p>
          <w:p>
            <w:pPr>
              <w:pStyle w:val="null3"/>
              <w:spacing w:before="255" w:after="255"/>
              <w:ind w:left="720"/>
              <w:jc w:val="both"/>
              <w:outlineLvl w:val="2"/>
            </w:pPr>
            <w:r>
              <w:rPr>
                <w:rFonts w:ascii="仿宋_GB2312" w:hAnsi="仿宋_GB2312" w:cs="仿宋_GB2312" w:eastAsia="仿宋_GB2312"/>
                <w:sz w:val="24"/>
                <w:b/>
              </w:rPr>
              <w:t>3</w:t>
            </w:r>
            <w:r>
              <w:rPr>
                <w:rFonts w:ascii="仿宋_GB2312" w:hAnsi="仿宋_GB2312" w:cs="仿宋_GB2312" w:eastAsia="仿宋_GB2312"/>
                <w:sz w:val="24"/>
                <w:b/>
              </w:rPr>
              <w:t>.3  路由器</w:t>
            </w:r>
          </w:p>
          <w:p>
            <w:pPr>
              <w:pStyle w:val="null3"/>
              <w:ind w:firstLine="480"/>
              <w:jc w:val="both"/>
            </w:pPr>
            <w:r>
              <w:rPr>
                <w:rFonts w:ascii="仿宋_GB2312" w:hAnsi="仿宋_GB2312" w:cs="仿宋_GB2312" w:eastAsia="仿宋_GB2312"/>
                <w:sz w:val="24"/>
              </w:rPr>
              <w:t>运行维护内容：设备加电运行、看护、除尘，运行日志填写，设备运行状况观察；检查数据流量、系统利用率等参数；系统硬件验证、调试；设定访问控制列表，配置文件的备份；零部件更换、故障处理修复等。</w:t>
            </w:r>
          </w:p>
          <w:p>
            <w:pPr>
              <w:pStyle w:val="null3"/>
              <w:spacing w:before="255" w:after="255"/>
              <w:ind w:left="720"/>
              <w:jc w:val="both"/>
              <w:outlineLvl w:val="2"/>
            </w:pPr>
            <w:r>
              <w:rPr>
                <w:rFonts w:ascii="仿宋_GB2312" w:hAnsi="仿宋_GB2312" w:cs="仿宋_GB2312" w:eastAsia="仿宋_GB2312"/>
                <w:sz w:val="24"/>
                <w:b/>
              </w:rPr>
              <w:t>3</w:t>
            </w:r>
            <w:r>
              <w:rPr>
                <w:rFonts w:ascii="仿宋_GB2312" w:hAnsi="仿宋_GB2312" w:cs="仿宋_GB2312" w:eastAsia="仿宋_GB2312"/>
                <w:sz w:val="24"/>
                <w:b/>
              </w:rPr>
              <w:t>.4 交换机</w:t>
            </w:r>
          </w:p>
          <w:p>
            <w:pPr>
              <w:pStyle w:val="null3"/>
              <w:ind w:firstLine="240"/>
              <w:jc w:val="both"/>
            </w:pPr>
            <w:r>
              <w:rPr>
                <w:rFonts w:ascii="仿宋_GB2312" w:hAnsi="仿宋_GB2312" w:cs="仿宋_GB2312" w:eastAsia="仿宋_GB2312"/>
                <w:sz w:val="24"/>
              </w:rPr>
              <w:t>运行维护内容：设备加电运行、看护、除尘，运行日志填写，设备运行状况观察；检查数据流量、系统利用率等参数；系统硬件验证、调试；设定访问控制列表，配置文件的备份；零部件更换、故障处理修复等。</w:t>
            </w:r>
          </w:p>
          <w:p>
            <w:pPr>
              <w:pStyle w:val="null3"/>
              <w:spacing w:before="255" w:after="255"/>
              <w:ind w:left="720"/>
              <w:jc w:val="both"/>
              <w:outlineLvl w:val="2"/>
            </w:pPr>
            <w:r>
              <w:rPr>
                <w:rFonts w:ascii="仿宋_GB2312" w:hAnsi="仿宋_GB2312" w:cs="仿宋_GB2312" w:eastAsia="仿宋_GB2312"/>
                <w:sz w:val="24"/>
                <w:b/>
              </w:rPr>
              <w:t>3</w:t>
            </w:r>
            <w:r>
              <w:rPr>
                <w:rFonts w:ascii="仿宋_GB2312" w:hAnsi="仿宋_GB2312" w:cs="仿宋_GB2312" w:eastAsia="仿宋_GB2312"/>
                <w:sz w:val="24"/>
                <w:b/>
              </w:rPr>
              <w:t>.5 山洪灾害预警平台短信缴费</w:t>
            </w:r>
          </w:p>
          <w:p>
            <w:pPr>
              <w:pStyle w:val="null3"/>
              <w:jc w:val="both"/>
            </w:pPr>
            <w:r>
              <w:rPr>
                <w:rFonts w:ascii="仿宋_GB2312" w:hAnsi="仿宋_GB2312" w:cs="仿宋_GB2312" w:eastAsia="仿宋_GB2312"/>
                <w:sz w:val="24"/>
              </w:rPr>
              <w:t>需要对山洪灾害预警短信平台缴费，保证预警短信正常发送。</w:t>
            </w:r>
          </w:p>
          <w:p>
            <w:pPr>
              <w:pStyle w:val="null3"/>
              <w:jc w:val="both"/>
            </w:pPr>
            <w:r>
              <w:rPr>
                <w:rFonts w:ascii="仿宋_GB2312" w:hAnsi="仿宋_GB2312" w:cs="仿宋_GB2312" w:eastAsia="仿宋_GB2312"/>
                <w:sz w:val="24"/>
                <w:b/>
              </w:rPr>
              <w:t>3.6.山洪灾害监测专职人员驻场服务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1）驻场人员</w:t>
            </w:r>
          </w:p>
          <w:p>
            <w:pPr>
              <w:pStyle w:val="null3"/>
              <w:ind w:firstLine="480"/>
              <w:jc w:val="both"/>
            </w:pPr>
            <w:r>
              <w:rPr>
                <w:rFonts w:ascii="仿宋_GB2312" w:hAnsi="仿宋_GB2312" w:cs="仿宋_GB2312" w:eastAsia="仿宋_GB2312"/>
                <w:sz w:val="24"/>
              </w:rPr>
              <w:t>派驻一名专职工程师在水利局办公，遵守水利局管理制度以确保运维的及时高效。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2）服务响应</w:t>
            </w:r>
          </w:p>
          <w:p>
            <w:pPr>
              <w:pStyle w:val="null3"/>
              <w:ind w:firstLine="480"/>
              <w:jc w:val="both"/>
            </w:pPr>
            <w:r>
              <w:rPr>
                <w:rFonts w:ascii="仿宋_GB2312" w:hAnsi="仿宋_GB2312" w:cs="仿宋_GB2312" w:eastAsia="仿宋_GB2312"/>
                <w:sz w:val="24"/>
              </w:rPr>
              <w:t>故障</w:t>
            </w:r>
            <w:r>
              <w:rPr>
                <w:rFonts w:ascii="仿宋_GB2312" w:hAnsi="仿宋_GB2312" w:cs="仿宋_GB2312" w:eastAsia="仿宋_GB2312"/>
                <w:sz w:val="24"/>
              </w:rPr>
              <w:t>6</w:t>
            </w:r>
            <w:r>
              <w:rPr>
                <w:rFonts w:ascii="仿宋_GB2312" w:hAnsi="仿宋_GB2312" w:cs="仿宋_GB2312" w:eastAsia="仿宋_GB2312"/>
                <w:sz w:val="24"/>
              </w:rPr>
              <w:t>0分钟响应，</w:t>
            </w:r>
            <w:r>
              <w:rPr>
                <w:rFonts w:ascii="仿宋_GB2312" w:hAnsi="仿宋_GB2312" w:cs="仿宋_GB2312" w:eastAsia="仿宋_GB2312"/>
                <w:sz w:val="24"/>
              </w:rPr>
              <w:t>12</w:t>
            </w:r>
            <w:r>
              <w:rPr>
                <w:rFonts w:ascii="仿宋_GB2312" w:hAnsi="仿宋_GB2312" w:cs="仿宋_GB2312" w:eastAsia="仿宋_GB2312"/>
                <w:sz w:val="24"/>
              </w:rPr>
              <w:t>小时内恢复；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3）常规检查</w:t>
            </w:r>
          </w:p>
          <w:p>
            <w:pPr>
              <w:pStyle w:val="null3"/>
              <w:ind w:firstLine="480"/>
              <w:jc w:val="both"/>
            </w:pPr>
            <w:r>
              <w:rPr>
                <w:rFonts w:ascii="仿宋_GB2312" w:hAnsi="仿宋_GB2312" w:cs="仿宋_GB2312" w:eastAsia="仿宋_GB2312"/>
                <w:sz w:val="24"/>
              </w:rPr>
              <w:t>每</w:t>
            </w:r>
            <w:r>
              <w:rPr>
                <w:rFonts w:ascii="仿宋_GB2312" w:hAnsi="仿宋_GB2312" w:cs="仿宋_GB2312" w:eastAsia="仿宋_GB2312"/>
                <w:sz w:val="24"/>
              </w:rPr>
              <w:t>15日定期对机房及相关系统设备进行巡检一次，并填写巡检日志，由水利局签字后作为档案留存。</w:t>
            </w:r>
          </w:p>
          <w:p>
            <w:pPr>
              <w:pStyle w:val="null3"/>
              <w:jc w:val="both"/>
              <w:outlineLvl w:val="1"/>
            </w:pPr>
            <w:r>
              <w:rPr>
                <w:rFonts w:ascii="仿宋_GB2312" w:hAnsi="仿宋_GB2312" w:cs="仿宋_GB2312" w:eastAsia="仿宋_GB2312"/>
                <w:sz w:val="24"/>
                <w:b/>
              </w:rPr>
              <w:t>（四）</w:t>
            </w:r>
            <w:r>
              <w:rPr>
                <w:rFonts w:ascii="仿宋_GB2312" w:hAnsi="仿宋_GB2312" w:cs="仿宋_GB2312" w:eastAsia="仿宋_GB2312"/>
                <w:sz w:val="24"/>
                <w:b/>
              </w:rPr>
              <w:t>13个山洪灾害危险区动态管理复核</w:t>
            </w:r>
          </w:p>
          <w:p>
            <w:pPr>
              <w:pStyle w:val="null3"/>
              <w:ind w:firstLine="480"/>
              <w:jc w:val="both"/>
            </w:pPr>
            <w:r>
              <w:rPr>
                <w:rFonts w:ascii="仿宋_GB2312" w:hAnsi="仿宋_GB2312" w:cs="仿宋_GB2312" w:eastAsia="仿宋_GB2312"/>
                <w:sz w:val="24"/>
              </w:rPr>
              <w:t>根据西乡县极高危险区和高危险区的分布情况，对西乡县高川镇、桑园镇、骆家坝镇、沙河镇、堰口镇、杨河镇共</w:t>
            </w:r>
            <w:r>
              <w:rPr>
                <w:rFonts w:ascii="仿宋_GB2312" w:hAnsi="仿宋_GB2312" w:cs="仿宋_GB2312" w:eastAsia="仿宋_GB2312"/>
                <w:sz w:val="24"/>
              </w:rPr>
              <w:t>6个镇的危险区进行全面复核，在复核危险区边界、受威胁对象及历史灾情的基础上，进一步根据各危险区实际防洪能力与防御需求，通过对关键断面防洪能力分析及临灾雨量、水位预警指标的计算工作，复核危险区的预警指标，为后续动态预警与精准防控提供技术依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45" w:after="330"/>
              <w:jc w:val="both"/>
              <w:outlineLvl w:val="0"/>
            </w:pPr>
            <w:r>
              <w:rPr>
                <w:rFonts w:ascii="仿宋_GB2312" w:hAnsi="仿宋_GB2312" w:cs="仿宋_GB2312" w:eastAsia="仿宋_GB2312"/>
                <w:sz w:val="24"/>
                <w:b/>
              </w:rPr>
              <w:t>二、山洪灾害防治建设</w:t>
            </w:r>
          </w:p>
          <w:p>
            <w:pPr>
              <w:pStyle w:val="null3"/>
              <w:spacing w:before="105" w:after="105"/>
              <w:jc w:val="left"/>
              <w:outlineLvl w:val="1"/>
            </w:pPr>
            <w:r>
              <w:rPr>
                <w:rFonts w:ascii="仿宋_GB2312" w:hAnsi="仿宋_GB2312" w:cs="仿宋_GB2312" w:eastAsia="仿宋_GB2312"/>
                <w:sz w:val="24"/>
                <w:b/>
              </w:rPr>
              <w:t>（一）补充新建自动雨量站</w:t>
            </w:r>
          </w:p>
          <w:p>
            <w:pPr>
              <w:pStyle w:val="null3"/>
              <w:jc w:val="center"/>
            </w:pPr>
            <w:r>
              <w:rPr>
                <w:rFonts w:ascii="仿宋_GB2312" w:hAnsi="仿宋_GB2312" w:cs="仿宋_GB2312" w:eastAsia="仿宋_GB2312"/>
                <w:sz w:val="28"/>
                <w:b/>
              </w:rPr>
              <w:t>表</w:t>
            </w:r>
            <w:r>
              <w:rPr>
                <w:rFonts w:ascii="仿宋_GB2312" w:hAnsi="仿宋_GB2312" w:cs="仿宋_GB2312" w:eastAsia="仿宋_GB2312"/>
                <w:sz w:val="28"/>
                <w:b/>
              </w:rPr>
              <w:t>1雨量监测站配置清单表</w:t>
            </w:r>
          </w:p>
          <w:tbl>
            <w:tblPr>
              <w:tblBorders>
                <w:top w:val="none" w:color="000000" w:sz="4"/>
                <w:left w:val="none" w:color="000000" w:sz="4"/>
                <w:bottom w:val="none" w:color="000000" w:sz="4"/>
                <w:right w:val="none" w:color="000000" w:sz="4"/>
                <w:insideH w:val="none"/>
                <w:insideV w:val="none"/>
              </w:tblBorders>
            </w:tblPr>
            <w:tblGrid>
              <w:gridCol w:w="190"/>
              <w:gridCol w:w="401"/>
              <w:gridCol w:w="1543"/>
              <w:gridCol w:w="198"/>
              <w:gridCol w:w="214"/>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1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翻斗式雨量计</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承雨口径：</w:t>
                  </w:r>
                  <w:r>
                    <w:rPr>
                      <w:rFonts w:ascii="仿宋_GB2312" w:hAnsi="仿宋_GB2312" w:cs="仿宋_GB2312" w:eastAsia="仿宋_GB2312"/>
                      <w:sz w:val="24"/>
                    </w:rPr>
                    <w:t>φ200+0.6mm；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分辨力：</w:t>
                  </w:r>
                  <w:r>
                    <w:rPr>
                      <w:rFonts w:ascii="仿宋_GB2312" w:hAnsi="仿宋_GB2312" w:cs="仿宋_GB2312" w:eastAsia="仿宋_GB2312"/>
                      <w:sz w:val="24"/>
                    </w:rPr>
                    <w:t>0.5mm；</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最大降雨强度：</w:t>
                  </w:r>
                  <w:r>
                    <w:rPr>
                      <w:rFonts w:ascii="仿宋_GB2312" w:hAnsi="仿宋_GB2312" w:cs="仿宋_GB2312" w:eastAsia="仿宋_GB2312"/>
                      <w:sz w:val="24"/>
                    </w:rPr>
                    <w:t>4mm/min；</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允许误差：</w:t>
                  </w:r>
                  <w:r>
                    <w:rPr>
                      <w:rFonts w:ascii="仿宋_GB2312" w:hAnsi="仿宋_GB2312" w:cs="仿宋_GB2312" w:eastAsia="仿宋_GB2312"/>
                      <w:sz w:val="24"/>
                    </w:rPr>
                    <w:t>≤±3%；</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输出方式：开关通断信号；</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工作温度：</w:t>
                  </w:r>
                  <w:r>
                    <w:rPr>
                      <w:rFonts w:ascii="仿宋_GB2312" w:hAnsi="仿宋_GB2312" w:cs="仿宋_GB2312" w:eastAsia="仿宋_GB2312"/>
                      <w:sz w:val="24"/>
                    </w:rPr>
                    <w:t>-10℃～50℃；</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工作湿度：</w:t>
                  </w:r>
                  <w:r>
                    <w:rPr>
                      <w:rFonts w:ascii="仿宋_GB2312" w:hAnsi="仿宋_GB2312" w:cs="仿宋_GB2312" w:eastAsia="仿宋_GB2312"/>
                      <w:sz w:val="24"/>
                    </w:rPr>
                    <w:t>≤98%RH（40℃无凝露）；</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MTBF(平均无故障时间)：≥40000h；</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传感器和输出信号传输线具有防雷电和抗干扰措施；</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质保年限：三年。</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北斗遥测终端机</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基本性能、基本功能、工作环境设备功耗、电源拉偏、抗雷击浪涌、机械环境适应性应满足</w:t>
                  </w:r>
                  <w:r>
                    <w:rPr>
                      <w:rFonts w:ascii="仿宋_GB2312" w:hAnsi="仿宋_GB2312" w:cs="仿宋_GB2312" w:eastAsia="仿宋_GB2312"/>
                      <w:sz w:val="24"/>
                    </w:rPr>
                    <w:t>SL180-2015相关要求；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4G通信要求支持</w:t>
                  </w:r>
                </w:p>
                <w:p>
                  <w:pPr>
                    <w:pStyle w:val="null3"/>
                    <w:jc w:val="both"/>
                  </w:pPr>
                  <w:r>
                    <w:rPr>
                      <w:rFonts w:ascii="仿宋_GB2312" w:hAnsi="仿宋_GB2312" w:cs="仿宋_GB2312" w:eastAsia="仿宋_GB2312"/>
                      <w:sz w:val="24"/>
                    </w:rPr>
                    <w:t>B1/B3/B5/B8/B34/B38/B39/B40/B41频段；</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接收频率北斗</w:t>
                  </w:r>
                  <w:r>
                    <w:rPr>
                      <w:rFonts w:ascii="仿宋_GB2312" w:hAnsi="仿宋_GB2312" w:cs="仿宋_GB2312" w:eastAsia="仿宋_GB2312"/>
                      <w:sz w:val="24"/>
                    </w:rPr>
                    <w:t>：</w:t>
                  </w:r>
                  <w:r>
                    <w:rPr>
                      <w:rFonts w:ascii="仿宋_GB2312" w:hAnsi="仿宋_GB2312" w:cs="仿宋_GB2312" w:eastAsia="仿宋_GB2312"/>
                      <w:sz w:val="24"/>
                    </w:rPr>
                    <w:t>B1频点、GPSL1频点</w:t>
                  </w:r>
                  <w:r>
                    <w:rPr>
                      <w:rFonts w:ascii="仿宋_GB2312" w:hAnsi="仿宋_GB2312" w:cs="仿宋_GB2312" w:eastAsia="仿宋_GB2312"/>
                      <w:sz w:val="24"/>
                    </w:rPr>
                    <w:t>，</w:t>
                  </w:r>
                  <w:r>
                    <w:rPr>
                      <w:rFonts w:ascii="仿宋_GB2312" w:hAnsi="仿宋_GB2312" w:cs="仿宋_GB2312" w:eastAsia="仿宋_GB2312"/>
                      <w:sz w:val="24"/>
                    </w:rPr>
                    <w:t>定位精度水平</w:t>
                  </w:r>
                  <w:r>
                    <w:rPr>
                      <w:rFonts w:ascii="仿宋_GB2312" w:hAnsi="仿宋_GB2312" w:cs="仿宋_GB2312" w:eastAsia="仿宋_GB2312"/>
                      <w:sz w:val="24"/>
                    </w:rPr>
                    <w:t>：</w:t>
                  </w:r>
                  <w:r>
                    <w:rPr>
                      <w:rFonts w:ascii="仿宋_GB2312" w:hAnsi="仿宋_GB2312" w:cs="仿宋_GB2312" w:eastAsia="仿宋_GB2312"/>
                      <w:sz w:val="24"/>
                    </w:rPr>
                    <w:t>≤5m测速精度</w:t>
                  </w:r>
                  <w:r>
                    <w:rPr>
                      <w:rFonts w:ascii="仿宋_GB2312" w:hAnsi="仿宋_GB2312" w:cs="仿宋_GB2312" w:eastAsia="仿宋_GB2312"/>
                      <w:sz w:val="24"/>
                    </w:rPr>
                    <w:t>：</w:t>
                  </w:r>
                  <w:r>
                    <w:rPr>
                      <w:rFonts w:ascii="仿宋_GB2312" w:hAnsi="仿宋_GB2312" w:cs="仿宋_GB2312" w:eastAsia="仿宋_GB2312"/>
                      <w:sz w:val="24"/>
                    </w:rPr>
                    <w:t>0.2m/s</w:t>
                  </w:r>
                  <w:r>
                    <w:rPr>
                      <w:rFonts w:ascii="仿宋_GB2312" w:hAnsi="仿宋_GB2312" w:cs="仿宋_GB2312" w:eastAsia="仿宋_GB2312"/>
                      <w:sz w:val="24"/>
                    </w:rPr>
                    <w:t>，</w:t>
                  </w:r>
                  <w:r>
                    <w:rPr>
                      <w:rFonts w:ascii="仿宋_GB2312" w:hAnsi="仿宋_GB2312" w:cs="仿宋_GB2312" w:eastAsia="仿宋_GB2312"/>
                      <w:sz w:val="24"/>
                    </w:rPr>
                    <w:t>捕获灵敏度</w:t>
                  </w:r>
                  <w:r>
                    <w:rPr>
                      <w:rFonts w:ascii="仿宋_GB2312" w:hAnsi="仿宋_GB2312" w:cs="仿宋_GB2312" w:eastAsia="仿宋_GB2312"/>
                      <w:sz w:val="24"/>
                    </w:rPr>
                    <w:t>：</w:t>
                  </w:r>
                  <w:r>
                    <w:rPr>
                      <w:rFonts w:ascii="仿宋_GB2312" w:hAnsi="仿宋_GB2312" w:cs="仿宋_GB2312" w:eastAsia="仿宋_GB2312"/>
                      <w:sz w:val="24"/>
                    </w:rPr>
                    <w:t>≤-133dBm</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跟踪灵敏度</w:t>
                  </w:r>
                  <w:r>
                    <w:rPr>
                      <w:rFonts w:ascii="仿宋_GB2312" w:hAnsi="仿宋_GB2312" w:cs="仿宋_GB2312" w:eastAsia="仿宋_GB2312"/>
                      <w:sz w:val="24"/>
                    </w:rPr>
                    <w:t>：</w:t>
                  </w:r>
                  <w:r>
                    <w:rPr>
                      <w:rFonts w:ascii="仿宋_GB2312" w:hAnsi="仿宋_GB2312" w:cs="仿宋_GB2312" w:eastAsia="仿宋_GB2312"/>
                      <w:sz w:val="24"/>
                    </w:rPr>
                    <w:t>≤-147dBm</w:t>
                  </w:r>
                  <w:r>
                    <w:rPr>
                      <w:rFonts w:ascii="仿宋_GB2312" w:hAnsi="仿宋_GB2312" w:cs="仿宋_GB2312" w:eastAsia="仿宋_GB2312"/>
                      <w:sz w:val="24"/>
                    </w:rPr>
                    <w:t>，</w:t>
                  </w:r>
                  <w:r>
                    <w:rPr>
                      <w:rFonts w:ascii="仿宋_GB2312" w:hAnsi="仿宋_GB2312" w:cs="仿宋_GB2312" w:eastAsia="仿宋_GB2312"/>
                      <w:sz w:val="24"/>
                    </w:rPr>
                    <w:t>防护特性</w:t>
                  </w:r>
                  <w:r>
                    <w:rPr>
                      <w:rFonts w:ascii="仿宋_GB2312" w:hAnsi="仿宋_GB2312" w:cs="仿宋_GB2312" w:eastAsia="仿宋_GB2312"/>
                      <w:sz w:val="24"/>
                    </w:rPr>
                    <w:t>：</w:t>
                  </w:r>
                  <w:r>
                    <w:rPr>
                      <w:rFonts w:ascii="仿宋_GB2312" w:hAnsi="仿宋_GB2312" w:cs="仿宋_GB2312" w:eastAsia="仿宋_GB2312"/>
                      <w:sz w:val="24"/>
                    </w:rPr>
                    <w:t>IP67</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输入电压范围</w:t>
                  </w:r>
                  <w:r>
                    <w:rPr>
                      <w:rFonts w:ascii="仿宋_GB2312" w:hAnsi="仿宋_GB2312" w:cs="仿宋_GB2312" w:eastAsia="仿宋_GB2312"/>
                      <w:sz w:val="24"/>
                    </w:rPr>
                    <w:t>：</w:t>
                  </w:r>
                  <w:r>
                    <w:rPr>
                      <w:rFonts w:ascii="仿宋_GB2312" w:hAnsi="仿宋_GB2312" w:cs="仿宋_GB2312" w:eastAsia="仿宋_GB2312"/>
                      <w:sz w:val="24"/>
                    </w:rPr>
                    <w:t>9~36V@15W</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供电电压范围：</w:t>
                  </w:r>
                  <w:r>
                    <w:rPr>
                      <w:rFonts w:ascii="仿宋_GB2312" w:hAnsi="仿宋_GB2312" w:cs="仿宋_GB2312" w:eastAsia="仿宋_GB2312"/>
                      <w:sz w:val="24"/>
                    </w:rPr>
                    <w:t>DC10～24V；</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静态值守电流：公网信道静态值守电流应不大于</w:t>
                  </w:r>
                  <w:r>
                    <w:rPr>
                      <w:rFonts w:ascii="仿宋_GB2312" w:hAnsi="仿宋_GB2312" w:cs="仿宋_GB2312" w:eastAsia="仿宋_GB2312"/>
                      <w:sz w:val="24"/>
                    </w:rPr>
                    <w:t>3</w:t>
                  </w:r>
                  <w:r>
                    <w:rPr>
                      <w:rFonts w:ascii="仿宋_GB2312" w:hAnsi="仿宋_GB2312" w:cs="仿宋_GB2312" w:eastAsia="仿宋_GB2312"/>
                      <w:sz w:val="24"/>
                    </w:rPr>
                    <w:t>0mA，北斗信道静态值守电流应不大于300mA；</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工作电流</w:t>
                  </w:r>
                  <w:r>
                    <w:rPr>
                      <w:rFonts w:ascii="仿宋_GB2312" w:hAnsi="仿宋_GB2312" w:cs="仿宋_GB2312" w:eastAsia="仿宋_GB2312"/>
                      <w:sz w:val="24"/>
                    </w:rPr>
                    <w:t>(每</w:t>
                  </w:r>
                  <w:r>
                    <w:rPr>
                      <w:rFonts w:ascii="仿宋_GB2312" w:hAnsi="仿宋_GB2312" w:cs="仿宋_GB2312" w:eastAsia="仿宋_GB2312"/>
                      <w:sz w:val="24"/>
                    </w:rPr>
                    <w:t>5</w:t>
                  </w:r>
                  <w:r>
                    <w:rPr>
                      <w:rFonts w:ascii="仿宋_GB2312" w:hAnsi="仿宋_GB2312" w:cs="仿宋_GB2312" w:eastAsia="仿宋_GB2312"/>
                      <w:sz w:val="24"/>
                    </w:rPr>
                    <w:t>分钟上报一次数据</w:t>
                  </w:r>
                  <w:r>
                    <w:rPr>
                      <w:rFonts w:ascii="仿宋_GB2312" w:hAnsi="仿宋_GB2312" w:cs="仿宋_GB2312" w:eastAsia="仿宋_GB2312"/>
                      <w:sz w:val="24"/>
                    </w:rPr>
                    <w:t>):公网信道工作电流应不大于100mA，北斗信道工作平均电流应不大于500mA；</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外壳防护等级：应满足</w:t>
                  </w:r>
                  <w:r>
                    <w:rPr>
                      <w:rFonts w:ascii="仿宋_GB2312" w:hAnsi="仿宋_GB2312" w:cs="仿宋_GB2312" w:eastAsia="仿宋_GB2312"/>
                      <w:sz w:val="24"/>
                    </w:rPr>
                    <w:t>G</w:t>
                  </w:r>
                  <w:r>
                    <w:rPr>
                      <w:rFonts w:ascii="仿宋_GB2312" w:hAnsi="仿宋_GB2312" w:cs="仿宋_GB2312" w:eastAsia="仿宋_GB2312"/>
                      <w:sz w:val="24"/>
                    </w:rPr>
                    <w:t>B4208-2008中IP68要求；</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工作温度：</w:t>
                  </w:r>
                  <w:r>
                    <w:rPr>
                      <w:rFonts w:ascii="仿宋_GB2312" w:hAnsi="仿宋_GB2312" w:cs="仿宋_GB2312" w:eastAsia="仿宋_GB2312"/>
                      <w:sz w:val="24"/>
                    </w:rPr>
                    <w:t>-20℃～50℃；</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质保年限：三年。</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太阳能板</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0W)</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材质：单晶硅太阳能板；</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额定功率：</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0W；需满足连续30个阴雨天正常工作的要求；</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工作电压：</w:t>
                  </w:r>
                  <w:r>
                    <w:rPr>
                      <w:rFonts w:ascii="仿宋_GB2312" w:hAnsi="仿宋_GB2312" w:cs="仿宋_GB2312" w:eastAsia="仿宋_GB2312"/>
                      <w:sz w:val="24"/>
                    </w:rPr>
                    <w:t>≥DC17.8V；</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工作温度：</w:t>
                  </w:r>
                  <w:r>
                    <w:rPr>
                      <w:rFonts w:ascii="仿宋_GB2312" w:hAnsi="仿宋_GB2312" w:cs="仿宋_GB2312" w:eastAsia="仿宋_GB2312"/>
                      <w:sz w:val="24"/>
                    </w:rPr>
                    <w:t>-20～50℃；</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质保年限：三年。</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蓄电池</w:t>
                  </w:r>
                  <w:r>
                    <w:rPr>
                      <w:rFonts w:ascii="仿宋_GB2312" w:hAnsi="仿宋_GB2312" w:cs="仿宋_GB2312" w:eastAsia="仿宋_GB2312"/>
                      <w:sz w:val="21"/>
                    </w:rPr>
                    <w:t>(</w:t>
                  </w:r>
                  <w:r>
                    <w:rPr>
                      <w:rFonts w:ascii="仿宋_GB2312" w:hAnsi="仿宋_GB2312" w:cs="仿宋_GB2312" w:eastAsia="仿宋_GB2312"/>
                      <w:sz w:val="21"/>
                    </w:rPr>
                    <w:t>65</w:t>
                  </w:r>
                  <w:r>
                    <w:rPr>
                      <w:rFonts w:ascii="仿宋_GB2312" w:hAnsi="仿宋_GB2312" w:cs="仿宋_GB2312" w:eastAsia="仿宋_GB2312"/>
                      <w:sz w:val="21"/>
                    </w:rPr>
                    <w:t>Ah)</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额度电压：</w:t>
                  </w:r>
                  <w:r>
                    <w:rPr>
                      <w:rFonts w:ascii="仿宋_GB2312" w:hAnsi="仿宋_GB2312" w:cs="仿宋_GB2312" w:eastAsia="仿宋_GB2312"/>
                      <w:sz w:val="24"/>
                    </w:rPr>
                    <w:t>DC12V；</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额定容量：</w:t>
                  </w:r>
                  <w:r>
                    <w:rPr>
                      <w:rFonts w:ascii="仿宋_GB2312" w:hAnsi="仿宋_GB2312" w:cs="仿宋_GB2312" w:eastAsia="仿宋_GB2312"/>
                      <w:sz w:val="24"/>
                    </w:rPr>
                    <w:t>≥</w:t>
                  </w:r>
                  <w:r>
                    <w:rPr>
                      <w:rFonts w:ascii="仿宋_GB2312" w:hAnsi="仿宋_GB2312" w:cs="仿宋_GB2312" w:eastAsia="仿宋_GB2312"/>
                      <w:sz w:val="24"/>
                    </w:rPr>
                    <w:t>65</w:t>
                  </w:r>
                  <w:r>
                    <w:rPr>
                      <w:rFonts w:ascii="仿宋_GB2312" w:hAnsi="仿宋_GB2312" w:cs="仿宋_GB2312" w:eastAsia="仿宋_GB2312"/>
                      <w:sz w:val="24"/>
                    </w:rPr>
                    <w:t>Ah；需满足连续30个阴雨天正常工作的要求；</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充电温度范围：</w:t>
                  </w:r>
                  <w:r>
                    <w:rPr>
                      <w:rFonts w:ascii="仿宋_GB2312" w:hAnsi="仿宋_GB2312" w:cs="仿宋_GB2312" w:eastAsia="仿宋_GB2312"/>
                      <w:sz w:val="24"/>
                    </w:rPr>
                    <w:t>0～42℃；</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放电温度范围：</w:t>
                  </w:r>
                  <w:r>
                    <w:rPr>
                      <w:rFonts w:ascii="仿宋_GB2312" w:hAnsi="仿宋_GB2312" w:cs="仿宋_GB2312" w:eastAsia="仿宋_GB2312"/>
                      <w:sz w:val="24"/>
                    </w:rPr>
                    <w:t>-20～50℃；</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质保年限：三年。</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设备</w:t>
                  </w:r>
                  <w:r>
                    <w:rPr>
                      <w:rFonts w:ascii="仿宋_GB2312" w:hAnsi="仿宋_GB2312" w:cs="仿宋_GB2312" w:eastAsia="仿宋_GB2312"/>
                      <w:sz w:val="21"/>
                    </w:rPr>
                    <w:t>机箱</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1、尺寸</w:t>
                  </w:r>
                  <w:r>
                    <w:rPr>
                      <w:rFonts w:ascii="仿宋_GB2312" w:hAnsi="仿宋_GB2312" w:cs="仿宋_GB2312" w:eastAsia="仿宋_GB2312"/>
                      <w:sz w:val="21"/>
                    </w:rPr>
                    <w:t>≥</w:t>
                  </w:r>
                  <w:r>
                    <w:rPr>
                      <w:rFonts w:ascii="仿宋_GB2312" w:hAnsi="仿宋_GB2312" w:cs="仿宋_GB2312" w:eastAsia="仿宋_GB2312"/>
                      <w:sz w:val="21"/>
                    </w:rPr>
                    <w:t>400*500*300mm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材质：不锈钢</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太阳能充电控制器</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满足太阳能板功率要求；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具备</w:t>
                  </w:r>
                  <w:r>
                    <w:rPr>
                      <w:rFonts w:ascii="仿宋_GB2312" w:hAnsi="仿宋_GB2312" w:cs="仿宋_GB2312" w:eastAsia="仿宋_GB2312"/>
                      <w:sz w:val="24"/>
                    </w:rPr>
                    <w:t>MPPT充电技术功能；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具备过流、过充、反极性等自动保护功能；</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工作温度：</w:t>
                  </w:r>
                  <w:r>
                    <w:rPr>
                      <w:rFonts w:ascii="仿宋_GB2312" w:hAnsi="仿宋_GB2312" w:cs="仿宋_GB2312" w:eastAsia="仿宋_GB2312"/>
                      <w:sz w:val="24"/>
                    </w:rPr>
                    <w:t>-20～50℃；</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质保年限：三年</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防雷器</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1、响应时间：</w:t>
                  </w:r>
                  <w:r>
                    <w:rPr>
                      <w:rFonts w:ascii="仿宋_GB2312" w:hAnsi="仿宋_GB2312" w:cs="仿宋_GB2312" w:eastAsia="仿宋_GB2312"/>
                      <w:sz w:val="24"/>
                      <w:color w:val="000000"/>
                    </w:rPr>
                    <w:t>≤25ns</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安装：</w:t>
                  </w:r>
                  <w:r>
                    <w:rPr>
                      <w:rFonts w:ascii="仿宋_GB2312" w:hAnsi="仿宋_GB2312" w:cs="仿宋_GB2312" w:eastAsia="仿宋_GB2312"/>
                      <w:sz w:val="24"/>
                      <w:color w:val="000000"/>
                    </w:rPr>
                    <w:t xml:space="preserve">35mm </w:t>
                  </w:r>
                  <w:r>
                    <w:rPr>
                      <w:rFonts w:ascii="仿宋_GB2312" w:hAnsi="仿宋_GB2312" w:cs="仿宋_GB2312" w:eastAsia="仿宋_GB2312"/>
                      <w:sz w:val="24"/>
                      <w:color w:val="000000"/>
                    </w:rPr>
                    <w:t>标准电气导轨</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立杆及支架</w:t>
                  </w:r>
                </w:p>
              </w:tc>
              <w:tc>
                <w:tcPr>
                  <w:tcW w:type="dxa" w:w="1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1、立杆直径</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毫米</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、立杆高度≥</w:t>
                  </w:r>
                  <w:r>
                    <w:rPr>
                      <w:rFonts w:ascii="仿宋_GB2312" w:hAnsi="仿宋_GB2312" w:cs="仿宋_GB2312" w:eastAsia="仿宋_GB2312"/>
                      <w:sz w:val="21"/>
                    </w:rPr>
                    <w:t>3</w:t>
                  </w:r>
                  <w:r>
                    <w:rPr>
                      <w:rFonts w:ascii="仿宋_GB2312" w:hAnsi="仿宋_GB2312" w:cs="仿宋_GB2312" w:eastAsia="仿宋_GB2312"/>
                      <w:sz w:val="21"/>
                    </w:rPr>
                    <w:t>米</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、配套立杆支架</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、材质：不锈钢</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jc w:val="both"/>
              <w:outlineLvl w:val="1"/>
            </w:pPr>
            <w:r>
              <w:rPr>
                <w:rFonts w:ascii="仿宋_GB2312" w:hAnsi="仿宋_GB2312" w:cs="仿宋_GB2312" w:eastAsia="仿宋_GB2312"/>
                <w:sz w:val="24"/>
                <w:b/>
              </w:rPr>
              <w:t>（二）备用信道建设</w:t>
            </w:r>
          </w:p>
          <w:p>
            <w:pPr>
              <w:pStyle w:val="null3"/>
              <w:jc w:val="center"/>
            </w:pPr>
            <w:r>
              <w:rPr>
                <w:rFonts w:ascii="仿宋_GB2312" w:hAnsi="仿宋_GB2312" w:cs="仿宋_GB2312" w:eastAsia="仿宋_GB2312"/>
                <w:sz w:val="28"/>
                <w:b/>
              </w:rPr>
              <w:t>表</w:t>
            </w:r>
            <w:r>
              <w:rPr>
                <w:rFonts w:ascii="仿宋_GB2312" w:hAnsi="仿宋_GB2312" w:cs="仿宋_GB2312" w:eastAsia="仿宋_GB2312"/>
                <w:sz w:val="28"/>
                <w:b/>
              </w:rPr>
              <w:t>2</w:t>
            </w:r>
            <w:r>
              <w:rPr>
                <w:rFonts w:ascii="仿宋_GB2312" w:hAnsi="仿宋_GB2312" w:cs="仿宋_GB2312" w:eastAsia="仿宋_GB2312"/>
                <w:sz w:val="24"/>
                <w:b/>
              </w:rPr>
              <w:t>备用信道配置清单表</w:t>
            </w:r>
          </w:p>
          <w:tbl>
            <w:tblPr>
              <w:tblBorders>
                <w:top w:val="none" w:color="000000" w:sz="4"/>
                <w:left w:val="none" w:color="000000" w:sz="4"/>
                <w:bottom w:val="none" w:color="000000" w:sz="4"/>
                <w:right w:val="none" w:color="000000" w:sz="4"/>
                <w:insideH w:val="none"/>
                <w:insideV w:val="none"/>
              </w:tblBorders>
            </w:tblPr>
            <w:tblGrid>
              <w:gridCol w:w="217"/>
              <w:gridCol w:w="386"/>
              <w:gridCol w:w="1477"/>
              <w:gridCol w:w="229"/>
              <w:gridCol w:w="241"/>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1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北斗遥测终端机</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1、基本性能、基本功能、工作环境设备功耗、电源拉偏、抗雷击浪涌、机械环境适应性应满足SL180-2015相关要求；</w:t>
                  </w:r>
                </w:p>
                <w:p>
                  <w:pPr>
                    <w:pStyle w:val="null3"/>
                    <w:jc w:val="both"/>
                  </w:pPr>
                  <w:r>
                    <w:rPr>
                      <w:rFonts w:ascii="仿宋_GB2312" w:hAnsi="仿宋_GB2312" w:cs="仿宋_GB2312" w:eastAsia="仿宋_GB2312"/>
                      <w:sz w:val="24"/>
                    </w:rPr>
                    <w:t>2、4G通信要求支持</w:t>
                  </w:r>
                </w:p>
                <w:p>
                  <w:pPr>
                    <w:pStyle w:val="null3"/>
                    <w:jc w:val="both"/>
                  </w:pPr>
                  <w:r>
                    <w:rPr>
                      <w:rFonts w:ascii="仿宋_GB2312" w:hAnsi="仿宋_GB2312" w:cs="仿宋_GB2312" w:eastAsia="仿宋_GB2312"/>
                      <w:sz w:val="24"/>
                    </w:rPr>
                    <w:t>B1/B3/B5/B8/B34/B38/B39/B40/B41频段；</w:t>
                  </w:r>
                </w:p>
                <w:p>
                  <w:pPr>
                    <w:pStyle w:val="null3"/>
                    <w:jc w:val="both"/>
                  </w:pPr>
                  <w:r>
                    <w:rPr>
                      <w:rFonts w:ascii="仿宋_GB2312" w:hAnsi="仿宋_GB2312" w:cs="仿宋_GB2312" w:eastAsia="仿宋_GB2312"/>
                      <w:sz w:val="24"/>
                    </w:rPr>
                    <w:t>3、供电电压范围：DC10～24V；</w:t>
                  </w:r>
                </w:p>
                <w:p>
                  <w:pPr>
                    <w:pStyle w:val="null3"/>
                    <w:jc w:val="both"/>
                  </w:pPr>
                  <w:r>
                    <w:rPr>
                      <w:rFonts w:ascii="仿宋_GB2312" w:hAnsi="仿宋_GB2312" w:cs="仿宋_GB2312" w:eastAsia="仿宋_GB2312"/>
                      <w:sz w:val="24"/>
                    </w:rPr>
                    <w:t>4、静态值守电流：公网信道静态值守电流应不大于30mA，北斗信道静态值守电流应不大于300mA；</w:t>
                  </w:r>
                </w:p>
                <w:p>
                  <w:pPr>
                    <w:pStyle w:val="null3"/>
                    <w:jc w:val="both"/>
                  </w:pPr>
                  <w:r>
                    <w:rPr>
                      <w:rFonts w:ascii="仿宋_GB2312" w:hAnsi="仿宋_GB2312" w:cs="仿宋_GB2312" w:eastAsia="仿宋_GB2312"/>
                      <w:sz w:val="24"/>
                    </w:rPr>
                    <w:t>5、工作电流(每5分钟上报一次数据):公网信道工作电流应不大于100mA，北斗信道工作平均电流应不大于500mA；</w:t>
                  </w:r>
                </w:p>
                <w:p>
                  <w:pPr>
                    <w:pStyle w:val="null3"/>
                    <w:jc w:val="both"/>
                  </w:pPr>
                  <w:r>
                    <w:rPr>
                      <w:rFonts w:ascii="仿宋_GB2312" w:hAnsi="仿宋_GB2312" w:cs="仿宋_GB2312" w:eastAsia="仿宋_GB2312"/>
                      <w:sz w:val="24"/>
                    </w:rPr>
                    <w:t>6、工作温度：-20℃～50℃；</w:t>
                  </w:r>
                </w:p>
                <w:p>
                  <w:pPr>
                    <w:pStyle w:val="null3"/>
                    <w:jc w:val="both"/>
                  </w:pPr>
                  <w:r>
                    <w:rPr>
                      <w:rFonts w:ascii="仿宋_GB2312" w:hAnsi="仿宋_GB2312" w:cs="仿宋_GB2312" w:eastAsia="仿宋_GB2312"/>
                      <w:sz w:val="24"/>
                    </w:rPr>
                    <w:t>7、质保年限：三年。</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北斗数传终端</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▲1、支持北斗三号通信。</w:t>
                  </w:r>
                </w:p>
                <w:p>
                  <w:pPr>
                    <w:pStyle w:val="null3"/>
                    <w:jc w:val="both"/>
                  </w:pPr>
                  <w:r>
                    <w:rPr>
                      <w:rFonts w:ascii="仿宋_GB2312" w:hAnsi="仿宋_GB2312" w:cs="仿宋_GB2312" w:eastAsia="仿宋_GB2312"/>
                      <w:sz w:val="24"/>
                    </w:rPr>
                    <w:t>2、功耗＜10W。</w:t>
                  </w:r>
                </w:p>
                <w:p>
                  <w:pPr>
                    <w:pStyle w:val="null3"/>
                    <w:jc w:val="both"/>
                  </w:pPr>
                  <w:r>
                    <w:rPr>
                      <w:rFonts w:ascii="仿宋_GB2312" w:hAnsi="仿宋_GB2312" w:cs="仿宋_GB2312" w:eastAsia="仿宋_GB2312"/>
                      <w:sz w:val="24"/>
                    </w:rPr>
                    <w:t>3、工作电压DC9～32V。</w:t>
                  </w:r>
                </w:p>
                <w:p>
                  <w:pPr>
                    <w:pStyle w:val="null3"/>
                    <w:jc w:val="both"/>
                  </w:pPr>
                  <w:r>
                    <w:rPr>
                      <w:rFonts w:ascii="仿宋_GB2312" w:hAnsi="仿宋_GB2312" w:cs="仿宋_GB2312" w:eastAsia="仿宋_GB2312"/>
                      <w:sz w:val="24"/>
                    </w:rPr>
                    <w:t>4、整机防水IP67。</w:t>
                  </w:r>
                </w:p>
                <w:p>
                  <w:pPr>
                    <w:pStyle w:val="null3"/>
                    <w:jc w:val="both"/>
                  </w:pPr>
                  <w:r>
                    <w:rPr>
                      <w:rFonts w:ascii="仿宋_GB2312" w:hAnsi="仿宋_GB2312" w:cs="仿宋_GB2312" w:eastAsia="仿宋_GB2312"/>
                      <w:sz w:val="24"/>
                    </w:rPr>
                    <w:t>5、产品质保：三年。</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太阳能板</w:t>
                  </w:r>
                  <w:r>
                    <w:rPr>
                      <w:rFonts w:ascii="仿宋_GB2312" w:hAnsi="仿宋_GB2312" w:cs="仿宋_GB2312" w:eastAsia="仿宋_GB2312"/>
                      <w:sz w:val="24"/>
                      <w:color w:val="000000"/>
                    </w:rPr>
                    <w:t>(80W)</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1、材质：单晶硅太阳能板；</w:t>
                  </w:r>
                </w:p>
                <w:p>
                  <w:pPr>
                    <w:pStyle w:val="null3"/>
                    <w:jc w:val="both"/>
                  </w:pPr>
                  <w:r>
                    <w:rPr>
                      <w:rFonts w:ascii="仿宋_GB2312" w:hAnsi="仿宋_GB2312" w:cs="仿宋_GB2312" w:eastAsia="仿宋_GB2312"/>
                      <w:sz w:val="24"/>
                    </w:rPr>
                    <w:t>2、额定功率：≥80W；需满足连续30个阴雨天正常工作的要求；</w:t>
                  </w:r>
                </w:p>
                <w:p>
                  <w:pPr>
                    <w:pStyle w:val="null3"/>
                    <w:jc w:val="both"/>
                  </w:pPr>
                  <w:r>
                    <w:rPr>
                      <w:rFonts w:ascii="仿宋_GB2312" w:hAnsi="仿宋_GB2312" w:cs="仿宋_GB2312" w:eastAsia="仿宋_GB2312"/>
                      <w:sz w:val="24"/>
                    </w:rPr>
                    <w:t>3、工作电压：≥DC17.8V；</w:t>
                  </w:r>
                </w:p>
                <w:p>
                  <w:pPr>
                    <w:pStyle w:val="null3"/>
                    <w:jc w:val="both"/>
                  </w:pPr>
                  <w:r>
                    <w:rPr>
                      <w:rFonts w:ascii="仿宋_GB2312" w:hAnsi="仿宋_GB2312" w:cs="仿宋_GB2312" w:eastAsia="仿宋_GB2312"/>
                      <w:sz w:val="24"/>
                    </w:rPr>
                    <w:t>4、工作温度：-20～50℃；</w:t>
                  </w:r>
                </w:p>
                <w:p>
                  <w:pPr>
                    <w:pStyle w:val="null3"/>
                    <w:jc w:val="both"/>
                  </w:pPr>
                  <w:r>
                    <w:rPr>
                      <w:rFonts w:ascii="仿宋_GB2312" w:hAnsi="仿宋_GB2312" w:cs="仿宋_GB2312" w:eastAsia="仿宋_GB2312"/>
                      <w:sz w:val="24"/>
                    </w:rPr>
                    <w:t>5、质保年限：三年。</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蓄电池（</w:t>
                  </w:r>
                  <w:r>
                    <w:rPr>
                      <w:rFonts w:ascii="仿宋_GB2312" w:hAnsi="仿宋_GB2312" w:cs="仿宋_GB2312" w:eastAsia="仿宋_GB2312"/>
                      <w:sz w:val="24"/>
                      <w:color w:val="000000"/>
                    </w:rPr>
                    <w:t>65AH）</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1、额度电压：DC12V；</w:t>
                  </w:r>
                </w:p>
                <w:p>
                  <w:pPr>
                    <w:pStyle w:val="null3"/>
                    <w:jc w:val="both"/>
                  </w:pPr>
                  <w:r>
                    <w:rPr>
                      <w:rFonts w:ascii="仿宋_GB2312" w:hAnsi="仿宋_GB2312" w:cs="仿宋_GB2312" w:eastAsia="仿宋_GB2312"/>
                      <w:sz w:val="24"/>
                    </w:rPr>
                    <w:t>2、额定容量：≥65Ah；需满足连续30个阴雨天正常工作的要求；</w:t>
                  </w:r>
                </w:p>
                <w:p>
                  <w:pPr>
                    <w:pStyle w:val="null3"/>
                    <w:jc w:val="both"/>
                  </w:pPr>
                  <w:r>
                    <w:rPr>
                      <w:rFonts w:ascii="仿宋_GB2312" w:hAnsi="仿宋_GB2312" w:cs="仿宋_GB2312" w:eastAsia="仿宋_GB2312"/>
                      <w:sz w:val="24"/>
                    </w:rPr>
                    <w:t>3、充电温度范围：0～42℃；</w:t>
                  </w:r>
                </w:p>
                <w:p>
                  <w:pPr>
                    <w:pStyle w:val="null3"/>
                    <w:jc w:val="both"/>
                  </w:pPr>
                  <w:r>
                    <w:rPr>
                      <w:rFonts w:ascii="仿宋_GB2312" w:hAnsi="仿宋_GB2312" w:cs="仿宋_GB2312" w:eastAsia="仿宋_GB2312"/>
                      <w:sz w:val="24"/>
                    </w:rPr>
                    <w:t>4、放电温度范围：-20～50℃；</w:t>
                  </w:r>
                </w:p>
                <w:p>
                  <w:pPr>
                    <w:pStyle w:val="null3"/>
                    <w:jc w:val="both"/>
                  </w:pPr>
                  <w:r>
                    <w:rPr>
                      <w:rFonts w:ascii="仿宋_GB2312" w:hAnsi="仿宋_GB2312" w:cs="仿宋_GB2312" w:eastAsia="仿宋_GB2312"/>
                      <w:sz w:val="24"/>
                    </w:rPr>
                    <w:t>5、质保年限：三年。</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一体化机箱</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定制，不锈钢</w:t>
                  </w:r>
                  <w:r>
                    <w:rPr>
                      <w:rFonts w:ascii="仿宋_GB2312" w:hAnsi="仿宋_GB2312" w:cs="仿宋_GB2312" w:eastAsia="仿宋_GB2312"/>
                      <w:sz w:val="21"/>
                    </w:rPr>
                    <w:t>400*500*300mm</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太阳能充电控制器</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1、满足太阳能板功率要求；</w:t>
                  </w:r>
                </w:p>
                <w:p>
                  <w:pPr>
                    <w:pStyle w:val="null3"/>
                    <w:jc w:val="both"/>
                  </w:pPr>
                  <w:r>
                    <w:rPr>
                      <w:rFonts w:ascii="仿宋_GB2312" w:hAnsi="仿宋_GB2312" w:cs="仿宋_GB2312" w:eastAsia="仿宋_GB2312"/>
                      <w:sz w:val="24"/>
                    </w:rPr>
                    <w:t>2、具备MPPT充电技术功能；</w:t>
                  </w:r>
                </w:p>
                <w:p>
                  <w:pPr>
                    <w:pStyle w:val="null3"/>
                    <w:jc w:val="both"/>
                  </w:pPr>
                  <w:r>
                    <w:rPr>
                      <w:rFonts w:ascii="仿宋_GB2312" w:hAnsi="仿宋_GB2312" w:cs="仿宋_GB2312" w:eastAsia="仿宋_GB2312"/>
                      <w:sz w:val="24"/>
                    </w:rPr>
                    <w:t>3、具备过流、过充、反极性等自动保护功能；</w:t>
                  </w:r>
                </w:p>
                <w:p>
                  <w:pPr>
                    <w:pStyle w:val="null3"/>
                    <w:jc w:val="both"/>
                  </w:pPr>
                  <w:r>
                    <w:rPr>
                      <w:rFonts w:ascii="仿宋_GB2312" w:hAnsi="仿宋_GB2312" w:cs="仿宋_GB2312" w:eastAsia="仿宋_GB2312"/>
                      <w:sz w:val="24"/>
                    </w:rPr>
                    <w:t>4、工作温度：-20～50℃；</w:t>
                  </w:r>
                </w:p>
                <w:p>
                  <w:pPr>
                    <w:pStyle w:val="null3"/>
                    <w:jc w:val="both"/>
                  </w:pPr>
                  <w:r>
                    <w:rPr>
                      <w:rFonts w:ascii="仿宋_GB2312" w:hAnsi="仿宋_GB2312" w:cs="仿宋_GB2312" w:eastAsia="仿宋_GB2312"/>
                      <w:sz w:val="24"/>
                    </w:rPr>
                    <w:t>5、质保年限：三年。</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jc w:val="center"/>
            </w:pPr>
            <w:r>
              <w:rPr>
                <w:rFonts w:ascii="仿宋_GB2312" w:hAnsi="仿宋_GB2312" w:cs="仿宋_GB2312" w:eastAsia="仿宋_GB2312"/>
                <w:sz w:val="24"/>
                <w:b/>
              </w:rPr>
              <w:t>以上（表</w:t>
            </w:r>
            <w:r>
              <w:rPr>
                <w:rFonts w:ascii="仿宋_GB2312" w:hAnsi="仿宋_GB2312" w:cs="仿宋_GB2312" w:eastAsia="仿宋_GB2312"/>
                <w:sz w:val="24"/>
                <w:b/>
              </w:rPr>
              <w:t>1雨量监测站配置清单表、表2备用信道配置清单表）所有设备均包含送货、现场施工安装、防雷接地工程施工，同时需提供为期 5 年的 4G 通信服务（每月流量 500M）及 5 年北斗通信服务。</w:t>
            </w:r>
          </w:p>
          <w:p>
            <w:pPr>
              <w:pStyle w:val="null3"/>
              <w:spacing w:before="105" w:after="105"/>
              <w:jc w:val="left"/>
              <w:outlineLvl w:val="1"/>
            </w:pPr>
            <w:r>
              <w:rPr>
                <w:rFonts w:ascii="仿宋_GB2312" w:hAnsi="仿宋_GB2312" w:cs="仿宋_GB2312" w:eastAsia="仿宋_GB2312"/>
                <w:sz w:val="24"/>
                <w:b/>
              </w:rPr>
              <w:t>（三）山洪灾害县级群测群防体系建设</w:t>
            </w:r>
          </w:p>
          <w:p>
            <w:pPr>
              <w:pStyle w:val="null3"/>
              <w:spacing w:before="255" w:after="255"/>
              <w:jc w:val="both"/>
            </w:pPr>
            <w:r>
              <w:rPr>
                <w:rFonts w:ascii="仿宋_GB2312" w:hAnsi="仿宋_GB2312" w:cs="仿宋_GB2312" w:eastAsia="仿宋_GB2312"/>
                <w:sz w:val="21"/>
                <w:b/>
              </w:rPr>
              <w:t>1、十个一标准化体系建设</w:t>
            </w:r>
          </w:p>
          <w:p>
            <w:pPr>
              <w:pStyle w:val="null3"/>
              <w:ind w:firstLine="480"/>
              <w:jc w:val="both"/>
            </w:pPr>
            <w:r>
              <w:rPr>
                <w:rFonts w:ascii="仿宋_GB2312" w:hAnsi="仿宋_GB2312" w:cs="仿宋_GB2312" w:eastAsia="仿宋_GB2312"/>
                <w:sz w:val="24"/>
              </w:rPr>
              <w:t>根据《山洪灾害群测群防体系建设指导意见》，主要对山洪灾害危险区的重点防治区的行政村为单位，对重点防治区的高危和极高危危险区的行政村进行</w:t>
            </w:r>
            <w:r>
              <w:rPr>
                <w:rFonts w:ascii="仿宋_GB2312" w:hAnsi="仿宋_GB2312" w:cs="仿宋_GB2312" w:eastAsia="仿宋_GB2312"/>
                <w:sz w:val="24"/>
              </w:rPr>
              <w:t>“十个一”标准化建设，结合西乡县山洪灾害危险区的分布情况，本次主要对杨河镇的拱桥社区的重点防治区的极高危危险区的行政村进行“十个一”标准化建设，在每个行政村，主要建立 1 套责任制体系，安装 1 套简易雨量报警器，制作 1 个宣传栏，组织 1 次培训、开展 1 次演练，每个危险区确定 1 处避灾安置点，每个危险区设置 1 组警示牌，每户发放 1张明白卡。</w:t>
            </w:r>
          </w:p>
          <w:p>
            <w:pPr>
              <w:pStyle w:val="null3"/>
              <w:spacing w:before="285" w:after="285"/>
              <w:jc w:val="both"/>
            </w:pPr>
            <w:r>
              <w:rPr>
                <w:rFonts w:ascii="仿宋_GB2312" w:hAnsi="仿宋_GB2312" w:cs="仿宋_GB2312" w:eastAsia="仿宋_GB2312"/>
                <w:sz w:val="21"/>
                <w:b/>
              </w:rPr>
              <w:t>1.1.行政村责任制体系完善</w:t>
            </w:r>
          </w:p>
          <w:p>
            <w:pPr>
              <w:pStyle w:val="null3"/>
              <w:ind w:firstLine="480"/>
              <w:jc w:val="both"/>
            </w:pPr>
            <w:r>
              <w:rPr>
                <w:rFonts w:ascii="仿宋_GB2312" w:hAnsi="仿宋_GB2312" w:cs="仿宋_GB2312" w:eastAsia="仿宋_GB2312"/>
                <w:sz w:val="24"/>
              </w:rPr>
              <w:t>针对杨河镇的拱桥社区的责任制体系建设进行完善，各行政村设立以村（社区）党支部书记为负责人的山洪灾害应急指挥机构，完善责任制体系。</w:t>
            </w:r>
          </w:p>
          <w:p>
            <w:pPr>
              <w:pStyle w:val="null3"/>
              <w:spacing w:before="285" w:after="285"/>
              <w:jc w:val="both"/>
            </w:pPr>
            <w:r>
              <w:rPr>
                <w:rFonts w:ascii="仿宋_GB2312" w:hAnsi="仿宋_GB2312" w:cs="仿宋_GB2312" w:eastAsia="仿宋_GB2312"/>
                <w:sz w:val="21"/>
                <w:b/>
              </w:rPr>
              <w:t>1.2.行政村简易雨量报警器</w:t>
            </w:r>
          </w:p>
          <w:p>
            <w:pPr>
              <w:pStyle w:val="null3"/>
              <w:ind w:firstLine="480"/>
              <w:jc w:val="both"/>
            </w:pPr>
            <w:r>
              <w:rPr>
                <w:rFonts w:ascii="仿宋_GB2312" w:hAnsi="仿宋_GB2312" w:cs="仿宋_GB2312" w:eastAsia="仿宋_GB2312"/>
                <w:sz w:val="24"/>
              </w:rPr>
              <w:t>在杨河镇的拱桥社区的安装</w:t>
            </w:r>
            <w:r>
              <w:rPr>
                <w:rFonts w:ascii="仿宋_GB2312" w:hAnsi="仿宋_GB2312" w:cs="仿宋_GB2312" w:eastAsia="仿宋_GB2312"/>
                <w:sz w:val="24"/>
              </w:rPr>
              <w:t>1 套简易雨量报警器。。</w:t>
            </w:r>
          </w:p>
          <w:p>
            <w:pPr>
              <w:pStyle w:val="null3"/>
              <w:spacing w:before="285" w:after="285"/>
              <w:jc w:val="both"/>
            </w:pPr>
            <w:r>
              <w:rPr>
                <w:rFonts w:ascii="仿宋_GB2312" w:hAnsi="仿宋_GB2312" w:cs="仿宋_GB2312" w:eastAsia="仿宋_GB2312"/>
                <w:sz w:val="21"/>
                <w:b/>
              </w:rPr>
              <w:t>1.3.行政村宣传栏制作</w:t>
            </w:r>
          </w:p>
          <w:p>
            <w:pPr>
              <w:pStyle w:val="null3"/>
              <w:ind w:firstLine="480"/>
              <w:jc w:val="both"/>
            </w:pPr>
            <w:r>
              <w:rPr>
                <w:rFonts w:ascii="仿宋_GB2312" w:hAnsi="仿宋_GB2312" w:cs="仿宋_GB2312" w:eastAsia="仿宋_GB2312"/>
                <w:sz w:val="24"/>
              </w:rPr>
              <w:t>在杨河镇的拱桥社区设立宣传栏，主要用于宣传山洪灾害的成因、危害、预警信号识别、避险转移方法等方面，组织群众熟悉转移路线及安置方案。</w:t>
            </w:r>
          </w:p>
          <w:p>
            <w:pPr>
              <w:pStyle w:val="null3"/>
              <w:ind w:firstLine="480"/>
              <w:jc w:val="both"/>
            </w:pPr>
            <w:r>
              <w:rPr>
                <w:rFonts w:ascii="仿宋_GB2312" w:hAnsi="仿宋_GB2312" w:cs="仿宋_GB2312" w:eastAsia="仿宋_GB2312"/>
                <w:sz w:val="24"/>
              </w:rPr>
              <w:t>宣传栏由标题栏、宣传区域、辅助图案、落款栏组成。宣传栏尺寸一般不小于</w:t>
            </w:r>
            <w:r>
              <w:rPr>
                <w:rFonts w:ascii="仿宋_GB2312" w:hAnsi="仿宋_GB2312" w:cs="仿宋_GB2312" w:eastAsia="仿宋_GB2312"/>
                <w:sz w:val="24"/>
              </w:rPr>
              <w:t>120cm</w:t>
            </w:r>
            <w:r>
              <w:rPr>
                <w:rFonts w:ascii="仿宋_GB2312" w:hAnsi="仿宋_GB2312" w:cs="仿宋_GB2312" w:eastAsia="仿宋_GB2312"/>
                <w:sz w:val="24"/>
              </w:rPr>
              <w:t>*</w:t>
            </w:r>
            <w:r>
              <w:rPr>
                <w:rFonts w:ascii="仿宋_GB2312" w:hAnsi="仿宋_GB2312" w:cs="仿宋_GB2312" w:eastAsia="仿宋_GB2312"/>
                <w:sz w:val="24"/>
              </w:rPr>
              <w:t>200cm 。可根据实际情况，采用户外立牌、墙面挂牌等形式，应考虑风雨侵蚀影响。如果户外立牌采用不锈钢报栏架子和KT板画面，如果墙面挂牌采用15mmPVC板UV和水晶膜墙面粘贴安装。</w:t>
            </w:r>
          </w:p>
          <w:p>
            <w:pPr>
              <w:pStyle w:val="null3"/>
              <w:spacing w:before="285" w:after="285"/>
              <w:jc w:val="both"/>
            </w:pPr>
            <w:r>
              <w:rPr>
                <w:rFonts w:ascii="仿宋_GB2312" w:hAnsi="仿宋_GB2312" w:cs="仿宋_GB2312" w:eastAsia="仿宋_GB2312"/>
                <w:sz w:val="21"/>
                <w:b/>
              </w:rPr>
              <w:t>1.4.明白卡</w:t>
            </w:r>
          </w:p>
          <w:p>
            <w:pPr>
              <w:pStyle w:val="null3"/>
              <w:ind w:firstLine="480"/>
              <w:jc w:val="both"/>
            </w:pPr>
            <w:r>
              <w:rPr>
                <w:rFonts w:ascii="仿宋_GB2312" w:hAnsi="仿宋_GB2312" w:cs="仿宋_GB2312" w:eastAsia="仿宋_GB2312"/>
                <w:sz w:val="24"/>
              </w:rPr>
              <w:t>对于</w:t>
            </w:r>
            <w:r>
              <w:rPr>
                <w:rFonts w:ascii="仿宋_GB2312" w:hAnsi="仿宋_GB2312" w:cs="仿宋_GB2312" w:eastAsia="仿宋_GB2312"/>
                <w:sz w:val="24"/>
              </w:rPr>
              <w:t>极高和高</w:t>
            </w:r>
            <w:r>
              <w:rPr>
                <w:rFonts w:ascii="仿宋_GB2312" w:hAnsi="仿宋_GB2312" w:cs="仿宋_GB2312" w:eastAsia="仿宋_GB2312"/>
                <w:sz w:val="24"/>
              </w:rPr>
              <w:t>危险区的住户，发放明白卡。</w:t>
            </w:r>
          </w:p>
          <w:p>
            <w:pPr>
              <w:pStyle w:val="null3"/>
              <w:ind w:firstLine="480"/>
              <w:jc w:val="both"/>
            </w:pPr>
            <w:r>
              <w:rPr>
                <w:rFonts w:ascii="仿宋_GB2312" w:hAnsi="仿宋_GB2312" w:cs="仿宋_GB2312" w:eastAsia="仿宋_GB2312"/>
                <w:sz w:val="24"/>
              </w:rPr>
              <w:t>明白卡由标题栏、文字区域、辅助图案、落款栏等部分组成。各部分比例如下图所示。明白卡尺寸为</w:t>
            </w:r>
            <w:r>
              <w:rPr>
                <w:rFonts w:ascii="仿宋_GB2312" w:hAnsi="仿宋_GB2312" w:cs="仿宋_GB2312" w:eastAsia="仿宋_GB2312"/>
                <w:sz w:val="24"/>
              </w:rPr>
              <w:t>30cm*20cm，采用5mmPVC板UV。</w:t>
            </w:r>
          </w:p>
          <w:p>
            <w:pPr>
              <w:pStyle w:val="null3"/>
              <w:spacing w:before="285" w:after="285"/>
              <w:jc w:val="both"/>
            </w:pPr>
            <w:r>
              <w:rPr>
                <w:rFonts w:ascii="仿宋_GB2312" w:hAnsi="仿宋_GB2312" w:cs="仿宋_GB2312" w:eastAsia="仿宋_GB2312"/>
                <w:sz w:val="21"/>
                <w:b/>
              </w:rPr>
              <w:t>1.5.危险区警示牌</w:t>
            </w:r>
          </w:p>
          <w:p>
            <w:pPr>
              <w:pStyle w:val="null3"/>
              <w:ind w:firstLine="480"/>
              <w:jc w:val="both"/>
            </w:pPr>
            <w:r>
              <w:rPr>
                <w:rFonts w:ascii="仿宋_GB2312" w:hAnsi="仿宋_GB2312" w:cs="仿宋_GB2312" w:eastAsia="仿宋_GB2312"/>
                <w:sz w:val="24"/>
              </w:rPr>
              <w:t>对</w:t>
            </w:r>
            <w:r>
              <w:rPr>
                <w:rFonts w:ascii="仿宋_GB2312" w:hAnsi="仿宋_GB2312" w:cs="仿宋_GB2312" w:eastAsia="仿宋_GB2312"/>
                <w:sz w:val="24"/>
              </w:rPr>
              <w:t>31个极高和高风险区设立警示牌，警示牌立杆尺寸250cm*150cm，采用5.0方管焊接架子，地下预埋40cm，画面尺寸100cm*150cm，采用1.0镀锌板，画面采用反光膜画面。</w:t>
            </w:r>
          </w:p>
          <w:p>
            <w:pPr>
              <w:pStyle w:val="null3"/>
              <w:ind w:firstLine="480"/>
              <w:jc w:val="both"/>
            </w:pPr>
            <w:r>
              <w:rPr>
                <w:rFonts w:ascii="仿宋_GB2312" w:hAnsi="仿宋_GB2312" w:cs="仿宋_GB2312" w:eastAsia="仿宋_GB2312"/>
                <w:sz w:val="24"/>
              </w:rPr>
              <w:t>对</w:t>
            </w:r>
            <w:r>
              <w:rPr>
                <w:rFonts w:ascii="仿宋_GB2312" w:hAnsi="仿宋_GB2312" w:cs="仿宋_GB2312" w:eastAsia="仿宋_GB2312"/>
                <w:sz w:val="24"/>
              </w:rPr>
              <w:t>160个一般危险区设立危险区警示牌，警示牌画面尺寸120cm*80cm，厚度1.4cm，采用PVC板。</w:t>
            </w:r>
          </w:p>
          <w:p>
            <w:pPr>
              <w:pStyle w:val="null3"/>
              <w:ind w:firstLine="480"/>
              <w:jc w:val="both"/>
            </w:pPr>
            <w:r>
              <w:rPr>
                <w:rFonts w:ascii="仿宋_GB2312" w:hAnsi="仿宋_GB2312" w:cs="仿宋_GB2312" w:eastAsia="仿宋_GB2312"/>
                <w:sz w:val="24"/>
              </w:rPr>
              <w:t>危险区警示牌由标题名称、文字区域、辅助图案、落款栏等部分组成。警示牌版面尺寸根据当地地形条件及安装位置确定，各部分比例如下图所示。根据当地实际情况和需要，采取户外立牌、喷绘或粉刷上墙等形式。</w:t>
            </w:r>
          </w:p>
          <w:p>
            <w:pPr>
              <w:pStyle w:val="null3"/>
              <w:jc w:val="both"/>
            </w:pPr>
            <w:r>
              <w:rPr>
                <w:rFonts w:ascii="仿宋_GB2312" w:hAnsi="仿宋_GB2312" w:cs="仿宋_GB2312" w:eastAsia="仿宋_GB2312"/>
                <w:sz w:val="21"/>
                <w:b/>
              </w:rPr>
              <w:t>1.6.转移路线指示牌</w:t>
            </w:r>
          </w:p>
          <w:p>
            <w:pPr>
              <w:pStyle w:val="null3"/>
              <w:ind w:firstLine="480"/>
              <w:jc w:val="both"/>
            </w:pPr>
            <w:r>
              <w:rPr>
                <w:rFonts w:ascii="仿宋_GB2312" w:hAnsi="仿宋_GB2312" w:cs="仿宋_GB2312" w:eastAsia="仿宋_GB2312"/>
                <w:sz w:val="24"/>
              </w:rPr>
              <w:t>对于杨河镇的拱桥社区</w:t>
            </w:r>
            <w:r>
              <w:rPr>
                <w:rFonts w:ascii="仿宋_GB2312" w:hAnsi="仿宋_GB2312" w:cs="仿宋_GB2312" w:eastAsia="仿宋_GB2312"/>
                <w:sz w:val="24"/>
              </w:rPr>
              <w:t>的</w:t>
            </w:r>
            <w:r>
              <w:rPr>
                <w:rFonts w:ascii="仿宋_GB2312" w:hAnsi="仿宋_GB2312" w:cs="仿宋_GB2312" w:eastAsia="仿宋_GB2312"/>
                <w:sz w:val="24"/>
              </w:rPr>
              <w:t>危险区转移路线关键位置处设置转移路线指示牌。警示牌立杆尺寸</w:t>
            </w:r>
            <w:r>
              <w:rPr>
                <w:rFonts w:ascii="仿宋_GB2312" w:hAnsi="仿宋_GB2312" w:cs="仿宋_GB2312" w:eastAsia="仿宋_GB2312"/>
                <w:sz w:val="24"/>
              </w:rPr>
              <w:t>250cm*110cm，采用5.0方管焊接架子，地下预埋40cm，画面尺寸100cm*70cm，采用1.0镀锌板，画面采用反光膜画面。可采用户外立牌、墙面挂牌、墙面喷涂等形式。</w:t>
            </w:r>
          </w:p>
          <w:p>
            <w:pPr>
              <w:pStyle w:val="null3"/>
              <w:jc w:val="both"/>
            </w:pPr>
            <w:r>
              <w:rPr>
                <w:rFonts w:ascii="仿宋_GB2312" w:hAnsi="仿宋_GB2312" w:cs="仿宋_GB2312" w:eastAsia="仿宋_GB2312"/>
                <w:sz w:val="21"/>
                <w:b/>
              </w:rPr>
              <w:t>1.7.安置点指示牌</w:t>
            </w:r>
          </w:p>
          <w:p>
            <w:pPr>
              <w:pStyle w:val="null3"/>
              <w:jc w:val="both"/>
            </w:pPr>
            <w:r>
              <w:rPr>
                <w:rFonts w:ascii="仿宋_GB2312" w:hAnsi="仿宋_GB2312" w:cs="仿宋_GB2312" w:eastAsia="仿宋_GB2312"/>
                <w:sz w:val="24"/>
              </w:rPr>
              <w:t xml:space="preserve">  对于杨河镇的拱桥社区</w:t>
            </w:r>
            <w:r>
              <w:rPr>
                <w:rFonts w:ascii="仿宋_GB2312" w:hAnsi="仿宋_GB2312" w:cs="仿宋_GB2312" w:eastAsia="仿宋_GB2312"/>
                <w:sz w:val="24"/>
              </w:rPr>
              <w:t>的</w:t>
            </w:r>
            <w:r>
              <w:rPr>
                <w:rFonts w:ascii="仿宋_GB2312" w:hAnsi="仿宋_GB2312" w:cs="仿宋_GB2312" w:eastAsia="仿宋_GB2312"/>
                <w:sz w:val="24"/>
              </w:rPr>
              <w:t>避灾安置点，在避灾安置点设立避灾安置点标识牌。警示牌立杆尺寸</w:t>
            </w:r>
            <w:r>
              <w:rPr>
                <w:rFonts w:ascii="仿宋_GB2312" w:hAnsi="仿宋_GB2312" w:cs="仿宋_GB2312" w:eastAsia="仿宋_GB2312"/>
                <w:sz w:val="24"/>
              </w:rPr>
              <w:t>250cm*110cm，采用5.0方管焊接架子，地下预埋40cm，画面尺寸100cm*70cm，采用1.0镀锌板，画面采用反光膜画面。可采用户外立牌、墙面挂牌、墙面喷涂等形式。</w:t>
            </w:r>
          </w:p>
          <w:p>
            <w:pPr>
              <w:pStyle w:val="null3"/>
              <w:jc w:val="both"/>
            </w:pPr>
            <w:r>
              <w:rPr>
                <w:rFonts w:ascii="仿宋_GB2312" w:hAnsi="仿宋_GB2312" w:cs="仿宋_GB2312" w:eastAsia="仿宋_GB2312"/>
                <w:sz w:val="21"/>
                <w:b/>
              </w:rPr>
              <w:t>2.山洪灾害预案修编</w:t>
            </w:r>
          </w:p>
          <w:p>
            <w:pPr>
              <w:pStyle w:val="null3"/>
              <w:jc w:val="both"/>
            </w:pPr>
            <w:r>
              <w:rPr>
                <w:rFonts w:ascii="仿宋_GB2312" w:hAnsi="仿宋_GB2312" w:cs="仿宋_GB2312" w:eastAsia="仿宋_GB2312"/>
                <w:sz w:val="24"/>
              </w:rPr>
              <w:t>2.1.县级预案修编</w:t>
            </w:r>
          </w:p>
          <w:p>
            <w:pPr>
              <w:pStyle w:val="null3"/>
              <w:ind w:firstLine="480"/>
              <w:jc w:val="both"/>
            </w:pPr>
            <w:r>
              <w:rPr>
                <w:rFonts w:ascii="仿宋_GB2312" w:hAnsi="仿宋_GB2312" w:cs="仿宋_GB2312" w:eastAsia="仿宋_GB2312"/>
                <w:sz w:val="24"/>
              </w:rPr>
              <w:t>主要对西乡县的山洪灾害预案进行修编，并通过专家审核。</w:t>
            </w:r>
          </w:p>
          <w:p>
            <w:pPr>
              <w:pStyle w:val="null3"/>
              <w:jc w:val="both"/>
            </w:pPr>
            <w:r>
              <w:rPr>
                <w:rFonts w:ascii="仿宋_GB2312" w:hAnsi="仿宋_GB2312" w:cs="仿宋_GB2312" w:eastAsia="仿宋_GB2312"/>
                <w:sz w:val="24"/>
              </w:rPr>
              <w:t>2.2.乡镇级预案技术审查</w:t>
            </w:r>
          </w:p>
          <w:p>
            <w:pPr>
              <w:pStyle w:val="null3"/>
              <w:ind w:firstLine="480"/>
              <w:jc w:val="both"/>
            </w:pPr>
            <w:r>
              <w:rPr>
                <w:rFonts w:ascii="仿宋_GB2312" w:hAnsi="仿宋_GB2312" w:cs="仿宋_GB2312" w:eastAsia="仿宋_GB2312"/>
                <w:sz w:val="24"/>
              </w:rPr>
              <w:t>主要对西乡县的</w:t>
            </w:r>
            <w:r>
              <w:rPr>
                <w:rFonts w:ascii="仿宋_GB2312" w:hAnsi="仿宋_GB2312" w:cs="仿宋_GB2312" w:eastAsia="仿宋_GB2312"/>
                <w:sz w:val="24"/>
              </w:rPr>
              <w:t>17个镇的镇级山洪灾害预案进行技术审查，并通过专家审核。</w:t>
            </w:r>
          </w:p>
          <w:p>
            <w:pPr>
              <w:pStyle w:val="null3"/>
              <w:jc w:val="both"/>
            </w:pPr>
            <w:r>
              <w:rPr>
                <w:rFonts w:ascii="仿宋_GB2312" w:hAnsi="仿宋_GB2312" w:cs="仿宋_GB2312" w:eastAsia="仿宋_GB2312"/>
                <w:sz w:val="24"/>
              </w:rPr>
              <w:t>镇级技术审查的内容如下：</w:t>
            </w:r>
          </w:p>
          <w:p>
            <w:pPr>
              <w:pStyle w:val="null3"/>
              <w:jc w:val="both"/>
            </w:pPr>
            <w:r>
              <w:rPr>
                <w:rFonts w:ascii="仿宋_GB2312" w:hAnsi="仿宋_GB2312" w:cs="仿宋_GB2312" w:eastAsia="仿宋_GB2312"/>
                <w:sz w:val="24"/>
              </w:rPr>
              <w:t>2.3.村级预案技术审查</w:t>
            </w:r>
          </w:p>
          <w:p>
            <w:pPr>
              <w:pStyle w:val="null3"/>
              <w:ind w:firstLine="480"/>
              <w:jc w:val="both"/>
            </w:pPr>
            <w:r>
              <w:rPr>
                <w:rFonts w:ascii="仿宋_GB2312" w:hAnsi="仿宋_GB2312" w:cs="仿宋_GB2312" w:eastAsia="仿宋_GB2312"/>
                <w:sz w:val="24"/>
              </w:rPr>
              <w:t>主要对西乡县的</w:t>
            </w:r>
            <w:r>
              <w:rPr>
                <w:rFonts w:ascii="仿宋_GB2312" w:hAnsi="仿宋_GB2312" w:cs="仿宋_GB2312" w:eastAsia="仿宋_GB2312"/>
                <w:sz w:val="24"/>
              </w:rPr>
              <w:t>89个行政村的村级山洪灾害预案进行技术审查，并通过专家审核。</w:t>
            </w:r>
          </w:p>
          <w:p>
            <w:pPr>
              <w:pStyle w:val="null3"/>
              <w:ind w:firstLine="480"/>
              <w:jc w:val="both"/>
            </w:pPr>
            <w:r>
              <w:rPr>
                <w:rFonts w:ascii="仿宋_GB2312" w:hAnsi="仿宋_GB2312" w:cs="仿宋_GB2312" w:eastAsia="仿宋_GB2312"/>
                <w:sz w:val="21"/>
                <w:b/>
              </w:rPr>
              <w:t>3、山洪灾害防治培训</w:t>
            </w:r>
          </w:p>
          <w:p>
            <w:pPr>
              <w:pStyle w:val="null3"/>
              <w:ind w:firstLine="480"/>
              <w:jc w:val="both"/>
            </w:pPr>
            <w:r>
              <w:rPr>
                <w:rFonts w:ascii="仿宋_GB2312" w:hAnsi="仿宋_GB2312" w:cs="仿宋_GB2312" w:eastAsia="仿宋_GB2312"/>
                <w:sz w:val="24"/>
              </w:rPr>
              <w:t>结合本项目情况主要对重点防治区的行政村和县、镇、村各级山洪灾害防御相关人员进行培训。</w:t>
            </w:r>
          </w:p>
          <w:p>
            <w:pPr>
              <w:pStyle w:val="null3"/>
              <w:ind w:firstLine="480"/>
              <w:jc w:val="both"/>
            </w:pPr>
            <w:r>
              <w:rPr>
                <w:rFonts w:ascii="仿宋_GB2312" w:hAnsi="仿宋_GB2312" w:cs="仿宋_GB2312" w:eastAsia="仿宋_GB2312"/>
                <w:sz w:val="24"/>
              </w:rPr>
              <w:t>培训工作由县水利局组织山洪灾害防治培训工作，每年汛前完成对防御责任人培训，汛中结合隐患排查开展针对性补训，确保培训覆盖率、技能掌握率达标。</w:t>
            </w:r>
          </w:p>
          <w:p>
            <w:pPr>
              <w:pStyle w:val="null3"/>
              <w:spacing w:before="255" w:after="255"/>
              <w:ind w:left="720"/>
              <w:jc w:val="both"/>
            </w:pPr>
            <w:r>
              <w:rPr>
                <w:rFonts w:ascii="仿宋_GB2312" w:hAnsi="仿宋_GB2312" w:cs="仿宋_GB2312" w:eastAsia="仿宋_GB2312"/>
                <w:sz w:val="21"/>
                <w:b/>
              </w:rPr>
              <w:t>4、山洪灾害防治演练</w:t>
            </w:r>
          </w:p>
          <w:p>
            <w:pPr>
              <w:pStyle w:val="null3"/>
              <w:ind w:firstLine="480"/>
              <w:jc w:val="both"/>
            </w:pPr>
            <w:r>
              <w:rPr>
                <w:rFonts w:ascii="仿宋_GB2312" w:hAnsi="仿宋_GB2312" w:cs="仿宋_GB2312" w:eastAsia="仿宋_GB2312"/>
                <w:sz w:val="24"/>
              </w:rPr>
              <w:t>结合本项目情况主要对重点防治区的行政村和县、镇、村各级山洪灾害防御相关人员进行演练。</w:t>
            </w:r>
          </w:p>
          <w:p>
            <w:pPr>
              <w:pStyle w:val="null3"/>
              <w:ind w:firstLine="480"/>
              <w:jc w:val="both"/>
            </w:pPr>
            <w:r>
              <w:rPr>
                <w:rFonts w:ascii="仿宋_GB2312" w:hAnsi="仿宋_GB2312" w:cs="仿宋_GB2312" w:eastAsia="仿宋_GB2312"/>
                <w:sz w:val="24"/>
              </w:rPr>
              <w:t>演练工作坚持</w:t>
            </w:r>
            <w:r>
              <w:rPr>
                <w:rFonts w:ascii="仿宋_GB2312" w:hAnsi="仿宋_GB2312" w:cs="仿宋_GB2312" w:eastAsia="仿宋_GB2312"/>
                <w:sz w:val="24"/>
              </w:rPr>
              <w:t>“实战导向、因地制宜”原则，各级每年至少组织1次山洪灾害转移避险演练，县区、镇村级演练重点覆盖危险区群众，确保演练参与率、实战性达标。</w:t>
            </w:r>
          </w:p>
          <w:p>
            <w:pPr>
              <w:pStyle w:val="null3"/>
              <w:spacing w:before="255" w:after="255"/>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345" w:after="330"/>
              <w:jc w:val="both"/>
              <w:outlineLvl w:val="0"/>
            </w:pPr>
            <w:r>
              <w:rPr>
                <w:rFonts w:ascii="仿宋_GB2312" w:hAnsi="仿宋_GB2312" w:cs="仿宋_GB2312" w:eastAsia="仿宋_GB2312"/>
                <w:sz w:val="24"/>
                <w:b/>
              </w:rPr>
              <w:t>三、</w:t>
            </w:r>
            <w:r>
              <w:rPr>
                <w:rFonts w:ascii="仿宋_GB2312" w:hAnsi="仿宋_GB2312" w:cs="仿宋_GB2312" w:eastAsia="仿宋_GB2312"/>
                <w:sz w:val="24"/>
                <w:b/>
              </w:rPr>
              <w:t>服务清单</w:t>
            </w:r>
          </w:p>
          <w:tbl>
            <w:tblPr>
              <w:tblBorders>
                <w:top w:val="none" w:color="000000" w:sz="4"/>
                <w:left w:val="none" w:color="000000" w:sz="4"/>
                <w:bottom w:val="none" w:color="000000" w:sz="4"/>
                <w:right w:val="none" w:color="000000" w:sz="4"/>
                <w:insideH w:val="none"/>
                <w:insideV w:val="none"/>
              </w:tblBorders>
            </w:tblPr>
            <w:tblGrid>
              <w:gridCol w:w="283"/>
              <w:gridCol w:w="1367"/>
              <w:gridCol w:w="274"/>
              <w:gridCol w:w="348"/>
              <w:gridCol w:w="274"/>
            </w:tblGrid>
            <w:tr>
              <w:tc>
                <w:tcPr>
                  <w:tcW w:type="dxa" w:w="28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67"/>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服务内容</w:t>
                  </w:r>
                </w:p>
              </w:tc>
              <w:tc>
                <w:tcPr>
                  <w:tcW w:type="dxa" w:w="274"/>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348"/>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74"/>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一</w:t>
                  </w:r>
                </w:p>
              </w:tc>
              <w:tc>
                <w:tcPr>
                  <w:tcW w:type="dxa" w:w="136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2026年中央水利发展资金山洪灾害防治非工程措施设施维修养护项目计划</w:t>
                  </w:r>
                </w:p>
              </w:tc>
              <w:tc>
                <w:tcPr>
                  <w:tcW w:type="dxa" w:w="896"/>
                  <w:gridSpan w:val="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主要用于县区监测预警平台维护和预警设施设备运行维护，保障汛期上线率达到</w:t>
                  </w:r>
                  <w:r>
                    <w:rPr>
                      <w:rFonts w:ascii="仿宋_GB2312" w:hAnsi="仿宋_GB2312" w:cs="仿宋_GB2312" w:eastAsia="仿宋_GB2312"/>
                      <w:sz w:val="24"/>
                      <w:b/>
                    </w:rPr>
                    <w:t>90%</w:t>
                  </w: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山洪灾害监测预警设施设备维护</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视频站点设施维修养护</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山洪灾害入户预警设施设备维护</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防汛呼叫主机</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防汛应答器</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简易水位站</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简易雨量站</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山洪灾害监测预警平台设施维护</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UPS主机</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服务器</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路由器</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交换机</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山洪灾害预警平台短信缴费</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山洪灾害监测专职人员驻场服务</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13个山洪灾害危险区动态管理复核</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基础资料调查收集和断面分析</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现场勘查和测量</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洪水频率分析</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预警指标值计算</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危险区复核报告编制</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报告成果出案</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2026年中央水利发展资金山洪灾害防治项目计划</w:t>
                  </w:r>
                </w:p>
              </w:tc>
              <w:tc>
                <w:tcPr>
                  <w:tcW w:type="dxa" w:w="896"/>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主要用于山洪灾害监测预警能力提升、县级群测群防体系建设等非工程措施建设。</w:t>
                  </w: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山洪灾害监测预警能力提升</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补充新建自动雨量站</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翻斗式雨量计</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北斗遥测终端机</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4G通信费（5年）</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北斗通信费（</w:t>
                  </w:r>
                  <w:r>
                    <w:rPr>
                      <w:rFonts w:ascii="仿宋_GB2312" w:hAnsi="仿宋_GB2312" w:cs="仿宋_GB2312" w:eastAsia="仿宋_GB2312"/>
                      <w:sz w:val="24"/>
                    </w:rPr>
                    <w:t>5年）</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太阳能板</w:t>
                  </w:r>
                  <w:r>
                    <w:rPr>
                      <w:rFonts w:ascii="仿宋_GB2312" w:hAnsi="仿宋_GB2312" w:cs="仿宋_GB2312" w:eastAsia="仿宋_GB2312"/>
                      <w:sz w:val="24"/>
                    </w:rPr>
                    <w:t>(80W)</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蓄电池（</w:t>
                  </w:r>
                  <w:r>
                    <w:rPr>
                      <w:rFonts w:ascii="仿宋_GB2312" w:hAnsi="仿宋_GB2312" w:cs="仿宋_GB2312" w:eastAsia="仿宋_GB2312"/>
                      <w:sz w:val="24"/>
                    </w:rPr>
                    <w:t>65AH）</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设备机箱</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太阳能充电控制器</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信号电源防雷器</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r>
                    <w:rPr>
                      <w:rFonts w:ascii="仿宋_GB2312" w:hAnsi="仿宋_GB2312" w:cs="仿宋_GB2312" w:eastAsia="仿宋_GB2312"/>
                      <w:sz w:val="24"/>
                    </w:rPr>
                    <w:t>0</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立杆及安装支架</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1.11</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防雷接地</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安装调试</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补充新建备用信道建设</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北斗遥测终端机</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北斗通信费（</w:t>
                  </w:r>
                  <w:r>
                    <w:rPr>
                      <w:rFonts w:ascii="仿宋_GB2312" w:hAnsi="仿宋_GB2312" w:cs="仿宋_GB2312" w:eastAsia="仿宋_GB2312"/>
                      <w:sz w:val="24"/>
                    </w:rPr>
                    <w:t>5年）</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太阳能板</w:t>
                  </w:r>
                  <w:r>
                    <w:rPr>
                      <w:rFonts w:ascii="仿宋_GB2312" w:hAnsi="仿宋_GB2312" w:cs="仿宋_GB2312" w:eastAsia="仿宋_GB2312"/>
                      <w:sz w:val="24"/>
                    </w:rPr>
                    <w:t>(80W)</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蓄电池（</w:t>
                  </w:r>
                  <w:r>
                    <w:rPr>
                      <w:rFonts w:ascii="仿宋_GB2312" w:hAnsi="仿宋_GB2312" w:cs="仿宋_GB2312" w:eastAsia="仿宋_GB2312"/>
                      <w:sz w:val="24"/>
                    </w:rPr>
                    <w:t>65AH）</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设备机箱</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太阳能充电控制器</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山洪灾害县级群测群防体系建设</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十个一标准化体系建设</w:t>
                  </w:r>
                  <w:r>
                    <w:br/>
                  </w:r>
                  <w:r>
                    <w:rPr>
                      <w:rFonts w:ascii="仿宋_GB2312" w:hAnsi="仿宋_GB2312" w:cs="仿宋_GB2312" w:eastAsia="仿宋_GB2312"/>
                      <w:sz w:val="24"/>
                      <w:b/>
                    </w:rPr>
                    <w:t>（</w:t>
                  </w:r>
                  <w:r>
                    <w:rPr>
                      <w:rFonts w:ascii="仿宋_GB2312" w:hAnsi="仿宋_GB2312" w:cs="仿宋_GB2312" w:eastAsia="仿宋_GB2312"/>
                      <w:sz w:val="24"/>
                      <w:b/>
                    </w:rPr>
                    <w:t>杨河镇拱桥社区）</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行政村责任制体系完善</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行政村简易雨量报警器</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行政村宣传栏制作（</w:t>
                  </w:r>
                  <w:r>
                    <w:rPr>
                      <w:rFonts w:ascii="仿宋_GB2312" w:hAnsi="仿宋_GB2312" w:cs="仿宋_GB2312" w:eastAsia="仿宋_GB2312"/>
                      <w:sz w:val="24"/>
                    </w:rPr>
                    <w:t>120cm*200cm不锈钢报栏架子+KT板画面）</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转移路线指示牌（立杆尺寸</w:t>
                  </w:r>
                  <w:r>
                    <w:rPr>
                      <w:rFonts w:ascii="仿宋_GB2312" w:hAnsi="仿宋_GB2312" w:cs="仿宋_GB2312" w:eastAsia="仿宋_GB2312"/>
                      <w:sz w:val="24"/>
                    </w:rPr>
                    <w:t>250cm*110cm、画面尺寸100cm*70cm，5.0方管焊接架子+1.0镀锌板+反光膜画面）</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安置点指示牌（立杆尺寸</w:t>
                  </w:r>
                  <w:r>
                    <w:rPr>
                      <w:rFonts w:ascii="仿宋_GB2312" w:hAnsi="仿宋_GB2312" w:cs="仿宋_GB2312" w:eastAsia="仿宋_GB2312"/>
                      <w:sz w:val="24"/>
                    </w:rPr>
                    <w:t>250cm*110cm、画面尺寸100cm*70cm，5.0方管焊接架子+1.0镀锌板+反光膜画面）</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明白卡（</w:t>
                  </w:r>
                  <w:r>
                    <w:rPr>
                      <w:rFonts w:ascii="仿宋_GB2312" w:hAnsi="仿宋_GB2312" w:cs="仿宋_GB2312" w:eastAsia="仿宋_GB2312"/>
                      <w:sz w:val="24"/>
                    </w:rPr>
                    <w:t>30cm*20cm，PVC板）</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442</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危险区警示牌（立杆尺寸</w:t>
                  </w:r>
                  <w:r>
                    <w:rPr>
                      <w:rFonts w:ascii="仿宋_GB2312" w:hAnsi="仿宋_GB2312" w:cs="仿宋_GB2312" w:eastAsia="仿宋_GB2312"/>
                      <w:sz w:val="24"/>
                    </w:rPr>
                    <w:t>250cm*150cm、画面尺寸100cm*150cm，5.0方管焊接架子+1.0镀锌板+反光膜画面）</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危险区警示牌（画面尺寸</w:t>
                  </w:r>
                  <w:r>
                    <w:rPr>
                      <w:rFonts w:ascii="仿宋_GB2312" w:hAnsi="仿宋_GB2312" w:cs="仿宋_GB2312" w:eastAsia="仿宋_GB2312"/>
                      <w:sz w:val="24"/>
                    </w:rPr>
                    <w:t>120cm*80cm，厚度1.4cm,PVC板）</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160</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山洪灾害预案修编</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县级修订预案</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乡镇级预案技术审查</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村级预案技术审查</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88</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山洪灾害防治培训</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培训讲师</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培训相关资料及课件</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山洪灾害防治演练</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制定演练计划</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脚本及各项技术文件编制</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演练现场搭建与布置</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视频拍摄与后期制作</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现场组织实施</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136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演练物料</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自合同签订之日起壹年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依据磋商文件、磋商响应文件、澄清表（函）、合同内容及附件文本；合同签订时国家及行业现行的标准和技术规范，自行组织验收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进度款，合同签订后支付项目启动资金，达到付款条件起7个工作日内，支付合同总金额的50.0%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进度款，验收合格后，达到付款条件起7个工作日内，支付合同总金额的50.0%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法定代表人参加磋商须提供《法定代表人身份证明》及身份证扫描件；法定代表人授权他人参加磋商，须提供《法定代表人授权委托书》及委托代理人身份证扫描件。供应商需在项目电子化交易系统中按要求上传合法有效的证明资料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合法有效的证明资料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需在项目电子化交易系统中按要求上传合法有效的证明资料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符合⽂件要求，响应⽂件内容⻬全、⽆遗漏</w:t>
            </w:r>
          </w:p>
        </w:tc>
        <w:tc>
          <w:tcPr>
            <w:tcW w:type="dxa" w:w="1661"/>
          </w:tcPr>
          <w:p>
            <w:pPr>
              <w:pStyle w:val="null3"/>
            </w:pPr>
            <w:r>
              <w:rPr>
                <w:rFonts w:ascii="仿宋_GB2312" w:hAnsi="仿宋_GB2312" w:cs="仿宋_GB2312" w:eastAsia="仿宋_GB2312"/>
              </w:rPr>
              <w:t>拟投入本项目的设备清单.docx 中小企业声明函 报价表 类似业绩一览表.docx 商务应答表.docx 响应文件封面 分项报价表.docx 供应商应提交的相关资格证明材料.docx 拟投入本项目人员配置情况表.docx 残疾人福利性单位声明函 服务方案 标的清单 服务内容及服务邀请应答表.docx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均按⽂件要求签字、盖章</w:t>
            </w:r>
          </w:p>
        </w:tc>
        <w:tc>
          <w:tcPr>
            <w:tcW w:type="dxa" w:w="1661"/>
          </w:tcPr>
          <w:p>
            <w:pPr>
              <w:pStyle w:val="null3"/>
            </w:pPr>
            <w:r>
              <w:rPr>
                <w:rFonts w:ascii="仿宋_GB2312" w:hAnsi="仿宋_GB2312" w:cs="仿宋_GB2312" w:eastAsia="仿宋_GB2312"/>
              </w:rPr>
              <w:t>拟投入本项目的设备清单.docx 中小企业声明函 报价表 类似业绩一览表.docx 商务应答表.docx 响应文件封面 分项报价表.docx 供应商应提交的相关资格证明材料.docx 拟投入本项目人员配置情况表.docx 残疾人福利性单位声明函 服务方案 标的清单 服务内容及服务邀请应答表.docx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 年 1 月 1 日至今山洪灾害防治、水文监测预警、水利设施运维类业绩；每提供 1 个有效业绩得 1.05 分，最高4.2分； 评审依据：提供加盖供应商公章的合同扫描件或成交通知书扫描件（时间以合同 / 通知书落款为准）。</w:t>
            </w:r>
          </w:p>
        </w:tc>
        <w:tc>
          <w:tcPr>
            <w:tcW w:type="dxa" w:w="831"/>
          </w:tcPr>
          <w:p>
            <w:pPr>
              <w:pStyle w:val="null3"/>
              <w:jc w:val="right"/>
            </w:pPr>
            <w:r>
              <w:rPr>
                <w:rFonts w:ascii="仿宋_GB2312" w:hAnsi="仿宋_GB2312" w:cs="仿宋_GB2312" w:eastAsia="仿宋_GB2312"/>
              </w:rPr>
              <w:t>4.2000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响应参数 （16.8）</w:t>
            </w:r>
          </w:p>
        </w:tc>
        <w:tc>
          <w:tcPr>
            <w:tcW w:type="dxa" w:w="2492"/>
          </w:tcPr>
          <w:p>
            <w:pPr>
              <w:pStyle w:val="null3"/>
            </w:pPr>
            <w:r>
              <w:rPr>
                <w:rFonts w:ascii="仿宋_GB2312" w:hAnsi="仿宋_GB2312" w:cs="仿宋_GB2312" w:eastAsia="仿宋_GB2312"/>
              </w:rPr>
              <w:t>本项目表1雨量监测站配置清单表、表2备用信道配置清单表中参数中含 ▲参数 6 条、一般参数 66 条，仅对负偏离扣分，无偏离 或 正偏离不扣分：① ▲参数：单条负偏离扣 0.6 分，6 条累计最多扣 3.6 分；② 一般参数：单条负偏离扣 0.2 分，66 条累计最多扣 13.2分；③扣完本项 16.8 分为止；④ 未按要求提供参数证明材料，对应参数一律按负偏离判定。评审依据：产品检测报告、合格证、图册、技术说明书、厂家佐证资料。（以上资料加盖供应商企业公章）</w:t>
            </w:r>
          </w:p>
        </w:tc>
        <w:tc>
          <w:tcPr>
            <w:tcW w:type="dxa" w:w="831"/>
          </w:tcPr>
          <w:p>
            <w:pPr>
              <w:pStyle w:val="null3"/>
              <w:jc w:val="right"/>
            </w:pPr>
            <w:r>
              <w:rPr>
                <w:rFonts w:ascii="仿宋_GB2312" w:hAnsi="仿宋_GB2312" w:cs="仿宋_GB2312" w:eastAsia="仿宋_GB2312"/>
              </w:rPr>
              <w:t>16.8000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项目负责人及团队人员配置</w:t>
            </w:r>
          </w:p>
        </w:tc>
        <w:tc>
          <w:tcPr>
            <w:tcW w:type="dxa" w:w="2492"/>
          </w:tcPr>
          <w:p>
            <w:pPr>
              <w:pStyle w:val="null3"/>
            </w:pPr>
            <w:r>
              <w:rPr>
                <w:rFonts w:ascii="仿宋_GB2312" w:hAnsi="仿宋_GB2312" w:cs="仿宋_GB2312" w:eastAsia="仿宋_GB2312"/>
              </w:rPr>
              <w:t>①项⽬负责⼈持有信息系统项⽬管理师证书，或⽔利⼯程、⽔⽂⽔资源、⽔利信息化相关专业证书，得 7 分；未提供对应有效证书的不得分。 ②服务团队⼈员（不含项⽬负责⼈）每提供 1 名满⾜以下资质条件⼈员得 4分，本项累计最⾼ 8 分：证书范围：系统集成、⽔利⼯程、⽔利运维、防洪影响评价、机电⼀体化、电⽓⾃动化、智慧⽔利相关专业证书。计分规则：同⼀⼈员仅计分 1 次，不得凭借多本证书重复累加得分。 评审依据：相关⼈员⾝份证、专业证书复印件，所有资料须加盖供应商企业公章；⼈证信息不⼀致、证书过期失效的，不予计分。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拟投入工具、设备</w:t>
            </w:r>
          </w:p>
        </w:tc>
        <w:tc>
          <w:tcPr>
            <w:tcW w:type="dxa" w:w="2492"/>
          </w:tcPr>
          <w:p>
            <w:pPr>
              <w:pStyle w:val="null3"/>
            </w:pPr>
            <w:r>
              <w:rPr>
                <w:rFonts w:ascii="仿宋_GB2312" w:hAnsi="仿宋_GB2312" w:cs="仿宋_GB2312" w:eastAsia="仿宋_GB2312"/>
              </w:rPr>
              <w:t>一、拟投入工具、设备（共5 类）：①⾼精度 GPS 定位仪②数字万用表③网络测试仪④数字对讲机⑤便携式应急电源。 二、计分规则：5 类设备全部资料⻬全且有效得 5 分；每有 1 类设备资料缺失 或 资料⽆效，扣 1.0 分，扣完本项分值为⽌。三、判定标准：出现以下任⼀情形，该类设备直接判定为⽆效，视同设备缺失：① 未提供对应设备配置清单、⽤途及技术参数说明；② 未提供设备实景照⽚，或照⽚模糊⽆法识别设备外观； 四、评审依据：① 设备配置清单（含名称、品牌、规格型号）；②设备⽤途及技术参数说明、设备实景照⽚；（以上资料加盖供应商公章）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拟投入本项目的设备清单.docx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一、根据供应商针对本项目服务质量控制措施，包含①质量标准体系；②质量管理措施（运维及施工）；③质量巡检考核机制； 二、评审标准：以上内容切合本项目实际情况及实施要求，内容与要点相符、每个要点均有展开详细的阐述且能够适用于本项目的计6分。评审内容任意一项缺项扣2分，扣完为止；评审内容有缺陷的每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综合运维及实施方案</w:t>
            </w:r>
          </w:p>
        </w:tc>
        <w:tc>
          <w:tcPr>
            <w:tcW w:type="dxa" w:w="2492"/>
          </w:tcPr>
          <w:p>
            <w:pPr>
              <w:pStyle w:val="null3"/>
            </w:pPr>
            <w:r>
              <w:rPr>
                <w:rFonts w:ascii="仿宋_GB2312" w:hAnsi="仿宋_GB2312" w:cs="仿宋_GB2312" w:eastAsia="仿宋_GB2312"/>
              </w:rPr>
              <w:t>一、评审内容：①视频站点维护方案；②监测预警平台运维方案；③危险区动态复核方案；④新建自动雨量站施工方案；⑤备用信道建设方案；⑥群测群防建设方案；⑦预案修编、培训演练组织方案。 二、评审标准：以上内容切合本项目实际情况及实施要求，内容与要点相符、每个要点均有展开详细的阐述且能够适用于本项目的计21分。评审内容任意一项缺项扣3分，扣完为止；评审内容有缺陷的每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应急处置专项方案</w:t>
            </w:r>
          </w:p>
        </w:tc>
        <w:tc>
          <w:tcPr>
            <w:tcW w:type="dxa" w:w="2492"/>
          </w:tcPr>
          <w:p>
            <w:pPr>
              <w:pStyle w:val="null3"/>
            </w:pPr>
            <w:r>
              <w:rPr>
                <w:rFonts w:ascii="仿宋_GB2312" w:hAnsi="仿宋_GB2312" w:cs="仿宋_GB2312" w:eastAsia="仿宋_GB2312"/>
              </w:rPr>
              <w:t>一、评审内容：①监测设备故障抢修；②预警设施失效处置；③通信网络中断恢复；④极端天气防护；⑤运维作业安全应急；⑥应急物资调配。 二、评审标准：以上内容切合本项目实际情况及实施要求，内容与要点相符、每个要点均有展开详细的阐述且能够适用于本项目的计6分。评审内容任意一项缺项扣1.0分，扣完为止；评审内容有缺陷的每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针对本项目提供详尽的服务承诺，包含但不限于针对本项目的①项目实施全流程服务承诺；②汛期设备上线率达标承诺；③日常运维巡检督查承诺。 二、评审标准：以上内容切合本项目实际情况及实施要求，内容与要点相符、每个要点均有展开详细的阐述且能够适用于本项目的计3分。评审内容任意一项缺项扣1分，扣完为止；评审内容有缺陷的每项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一、根据供应商针对本项目服务质量控制措施，包含①监测预警数据保密；②涉密档案资料管理；③保密责任考核追责； 评审内容任意一项缺项扣1.0分，扣完为止；评审内容有缺陷的每项缺陷扣0.5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20%）×100（四舍五入后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详见附件：拟投入本项目的设备清单.docx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