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版本号：HSGJ2026-16820260611001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小雁塔消防升级改造设计项目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HSGJ2026-168</w:t>
      </w:r>
      <w:r>
        <w:br/>
      </w:r>
      <w:r>
        <w:br/>
      </w:r>
      <w:r>
        <w:br/>
      </w:r>
    </w:p>
    <w:p>
      <w:pPr>
        <w:pStyle w:val="null3"/>
        <w:jc w:val="center"/>
        <w:outlineLvl w:val="2"/>
      </w:pPr>
      <w:r>
        <w:rPr>
          <w:rFonts w:ascii="仿宋_GB2312" w:hAnsi="仿宋_GB2312" w:cs="仿宋_GB2312" w:eastAsia="仿宋_GB2312"/>
          <w:sz w:val="28"/>
          <w:b/>
        </w:rPr>
        <w:t>西安博物院</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西安博物院</w:t>
      </w:r>
      <w:r>
        <w:rPr>
          <w:rFonts w:ascii="仿宋_GB2312" w:hAnsi="仿宋_GB2312" w:cs="仿宋_GB2312" w:eastAsia="仿宋_GB2312"/>
        </w:rPr>
        <w:t>委托，拟对</w:t>
      </w:r>
      <w:r>
        <w:rPr>
          <w:rFonts w:ascii="仿宋_GB2312" w:hAnsi="仿宋_GB2312" w:cs="仿宋_GB2312" w:eastAsia="仿宋_GB2312"/>
        </w:rPr>
        <w:t>小雁塔消防升级改造设计项目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小雁塔消防升级改造设计项目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小雁塔消防升级改造设计项目，具体内容详见第三章。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采购包1（小雁塔消防升级改造设计项目）：属于专门面向中小企业采购。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9、供应商资质：供应商须具备工程设计综合甲级资质或工程设计（建筑行业）甲级资质或工程设计建筑行业（建筑工程）专业甲级资质或消防设施工程设计专项甲级资质</w:t>
      </w:r>
    </w:p>
    <w:p>
      <w:pPr>
        <w:pStyle w:val="null3"/>
      </w:pPr>
      <w:r>
        <w:rPr>
          <w:rFonts w:ascii="仿宋_GB2312" w:hAnsi="仿宋_GB2312" w:cs="仿宋_GB2312" w:eastAsia="仿宋_GB2312"/>
        </w:rPr>
        <w:t>10、项目负责人：拟派项目负责人须具有一级注册建筑师资格，且在本单位注册；</w:t>
      </w:r>
    </w:p>
    <w:p>
      <w:pPr>
        <w:pStyle w:val="null3"/>
      </w:pPr>
      <w:r>
        <w:rPr>
          <w:rFonts w:ascii="仿宋_GB2312" w:hAnsi="仿宋_GB2312" w:cs="仿宋_GB2312" w:eastAsia="仿宋_GB2312"/>
        </w:rPr>
        <w:t>11、关联关系：单位负责人为同一人或者存在直接控股、管理关系的不同供应商不得参加同一合同项下的政府采购活动；为本项目提供整体设计、规范编制或者项目管理、监理、检测等服务的供应商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029- 87895933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代理服务费收费标准：招标代理服务费收取按照国家计委颁布的《招标代理服务收费管理暂行办法》（计价格[2002]1980号）和（发改办价格[2003]857号）标准计取。银行户名：华晟国际项目管理有限公司 开户银行：建设银行西安劳动路支行 账 号：610501 740015 00000 427 转账事由：HSGJ2026-168项目代理服务费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西安博物院</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小雁塔消防升级改造设计项目。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582,000.00</w:t>
      </w:r>
    </w:p>
    <w:p>
      <w:pPr>
        <w:pStyle w:val="null3"/>
      </w:pPr>
      <w:r>
        <w:rPr>
          <w:rFonts w:ascii="仿宋_GB2312" w:hAnsi="仿宋_GB2312" w:cs="仿宋_GB2312" w:eastAsia="仿宋_GB2312"/>
        </w:rPr>
        <w:t>采购包最高限价（元）: 582,000.00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小雁塔消防升级改造设计项目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标的名称：小雁塔消防升级改造设计项目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一、项目简介：</w:t>
            </w:r>
            <w:r>
              <w:rPr>
                <w:rFonts w:ascii="仿宋_GB2312" w:hAnsi="仿宋_GB2312" w:cs="仿宋_GB2312" w:eastAsia="仿宋_GB2312"/>
                <w:sz w:val="20"/>
              </w:rPr>
              <w:t>小雁塔位于唐长安城安仁坊</w:t>
            </w:r>
            <w:r>
              <w:rPr>
                <w:rFonts w:ascii="仿宋_GB2312" w:hAnsi="仿宋_GB2312" w:cs="仿宋_GB2312" w:eastAsia="仿宋_GB2312"/>
                <w:sz w:val="20"/>
              </w:rPr>
              <w:t>(今陕西省西安市南郊)荐福寺内，又称"荐福寺塔"，建于唐景龙年间，与大雁塔同为唐长安城保留至今的重要标志。小雁塔是中国早期方形密檐式砖塔的典型作品，原有 15 层，现存 13 层，高 43.4 米，塔形秀丽，是唐代佛教建筑艺术遗产，佛教传入中原地区并融入汉族文化的标志性建筑。</w:t>
            </w:r>
          </w:p>
          <w:p>
            <w:pPr>
              <w:pStyle w:val="null3"/>
              <w:ind w:firstLine="400"/>
              <w:jc w:val="left"/>
            </w:pPr>
            <w:r>
              <w:rPr>
                <w:rFonts w:ascii="仿宋_GB2312" w:hAnsi="仿宋_GB2312" w:cs="仿宋_GB2312" w:eastAsia="仿宋_GB2312"/>
                <w:sz w:val="20"/>
              </w:rPr>
              <w:t>荐福寺是唐代著名的皇家寺院，毁于唐末战乱，唯存寺内佛塔</w:t>
            </w:r>
            <w:r>
              <w:rPr>
                <w:rFonts w:ascii="仿宋_GB2312" w:hAnsi="仿宋_GB2312" w:cs="仿宋_GB2312" w:eastAsia="仿宋_GB2312"/>
                <w:sz w:val="20"/>
              </w:rPr>
              <w:t>—小雁塔。现存的荐福寺为明清两代重修，寺内古建筑群大体延续了明代正统年间（公元 1436－1448 年）重修时的布局，殿宇建筑集中在山门直对小雁塔的中轴线上，由南向北依次有山门、钟鼓楼、慈氏阁、大雄宝殿、藏经阁、小雁塔、白衣阁等。小雁塔建于唐景龙年间（公元 707-710 年），本名“荐福寺塔”，塔身原为方形十五级密檐式砖塔，在明代的几次地震中，塔顶部的十四、十五两级被毁，塔身也经历了裂而后合的奇迹，被称为“雁塔神合”。荐福寺内拥有众多的文物、古迹、古树不仅是了解和研究当地社会、经济和文化发展的实物资料，也是展示社会文明发展的重要窗口。</w:t>
            </w:r>
          </w:p>
          <w:p>
            <w:pPr>
              <w:pStyle w:val="null3"/>
              <w:ind w:firstLine="400"/>
              <w:jc w:val="left"/>
            </w:pPr>
            <w:r>
              <w:rPr>
                <w:rFonts w:ascii="仿宋_GB2312" w:hAnsi="仿宋_GB2312" w:cs="仿宋_GB2312" w:eastAsia="仿宋_GB2312"/>
                <w:sz w:val="20"/>
              </w:rPr>
              <w:t>西安博物院博物馆建筑面积</w:t>
            </w:r>
            <w:r>
              <w:rPr>
                <w:rFonts w:ascii="仿宋_GB2312" w:hAnsi="仿宋_GB2312" w:cs="仿宋_GB2312" w:eastAsia="仿宋_GB2312"/>
                <w:sz w:val="20"/>
              </w:rPr>
              <w:t>16000 余平方米，展厅面积 5000 余平方米。其中地下一层墓志库面积约 1300 平方米，陶器库面积约 650 平方米，陶器石刻库面积约 280 平方米，临时周转库面积约 270 平方米，夹层陶器杂库面积约 680 平方米，字画碑帖库面积约 440 平方米；地下一层基本陈列厅两个及序厅面积约 2800 平方米，一层十年珍藏展厅面积约 520 平方米，佛教造像展厅面积约 630 平方米，二层玉器展厅面积约 250 平方米，乐知学堂面积约300 平方米，秦亡于奢警示教育展厅面积约 670 平方米。库房馆藏文物 13 万件，国家三级以上的珍贵文物有 14400 多件。文物展厅 2000 件首次面世对外展览，精品荟萃，异彩纷呈，演绎了古都历史的万千气象，西安博物院博物馆于 2007 年 3 月竣工完成。</w:t>
            </w:r>
          </w:p>
          <w:p>
            <w:pPr>
              <w:pStyle w:val="null3"/>
              <w:ind w:firstLine="402"/>
              <w:jc w:val="left"/>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服务</w:t>
            </w:r>
            <w:r>
              <w:rPr>
                <w:rFonts w:ascii="仿宋_GB2312" w:hAnsi="仿宋_GB2312" w:cs="仿宋_GB2312" w:eastAsia="仿宋_GB2312"/>
                <w:sz w:val="20"/>
                <w:b/>
              </w:rPr>
              <w:t>内容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防护重点目标和部位</w:t>
            </w:r>
            <w:r>
              <w:rPr>
                <w:rFonts w:ascii="仿宋_GB2312" w:hAnsi="仿宋_GB2312" w:cs="仿宋_GB2312" w:eastAsia="仿宋_GB2312"/>
                <w:sz w:val="20"/>
              </w:rPr>
              <w:t>:小雁塔本体、荐福寺内其他文物建筑和博物馆。</w:t>
            </w:r>
          </w:p>
          <w:p>
            <w:pPr>
              <w:pStyle w:val="null3"/>
              <w:ind w:firstLine="400"/>
              <w:jc w:val="both"/>
            </w:pPr>
            <w:r>
              <w:rPr>
                <w:rFonts w:ascii="仿宋_GB2312" w:hAnsi="仿宋_GB2312" w:cs="仿宋_GB2312" w:eastAsia="仿宋_GB2312"/>
                <w:sz w:val="20"/>
              </w:rPr>
              <w:t>保护对象</w:t>
            </w:r>
            <w:r>
              <w:rPr>
                <w:rFonts w:ascii="仿宋_GB2312" w:hAnsi="仿宋_GB2312" w:cs="仿宋_GB2312" w:eastAsia="仿宋_GB2312"/>
                <w:sz w:val="20"/>
              </w:rPr>
              <w:t>:小雁塔、荐福寺建筑群及博物馆地下一层4处文物库房及地下夹层1处文物库房、东南角文物库房二层等。</w:t>
            </w:r>
          </w:p>
          <w:p>
            <w:pPr>
              <w:pStyle w:val="null3"/>
              <w:ind w:firstLine="400"/>
              <w:jc w:val="both"/>
            </w:pPr>
            <w:r>
              <w:rPr>
                <w:rFonts w:ascii="仿宋_GB2312" w:hAnsi="仿宋_GB2312" w:cs="仿宋_GB2312" w:eastAsia="仿宋_GB2312"/>
                <w:sz w:val="20"/>
              </w:rPr>
              <w:t>设计内容包含：</w:t>
            </w:r>
            <w:r>
              <w:rPr>
                <w:rFonts w:ascii="仿宋_GB2312" w:hAnsi="仿宋_GB2312" w:cs="仿宋_GB2312" w:eastAsia="仿宋_GB2312"/>
                <w:sz w:val="20"/>
              </w:rPr>
              <w:t>1.火灾自动报警系统、2.消防应急广播系统、3.消防电话系统、4.视频图像火灾探测系统、5.灭火器及消防设施配置、6.气体灭火系统、7.室外消火栓系统、8.高压细水雾灭火装置、9.电气火灾监控设备、10.消防电源监控设备、11.应急照明及疏散指示系统、12.博物馆自喷、消火栓主干管道更换、13.消防点配置等内容。</w:t>
            </w:r>
          </w:p>
          <w:p>
            <w:pPr>
              <w:pStyle w:val="null3"/>
              <w:ind w:firstLine="400"/>
              <w:jc w:val="both"/>
            </w:pPr>
            <w:r>
              <w:rPr>
                <w:rFonts w:ascii="仿宋_GB2312" w:hAnsi="仿宋_GB2312" w:cs="仿宋_GB2312" w:eastAsia="仿宋_GB2312"/>
                <w:sz w:val="20"/>
              </w:rPr>
              <w:t>设计原则：</w:t>
            </w:r>
            <w:r>
              <w:rPr>
                <w:rFonts w:ascii="仿宋_GB2312" w:hAnsi="仿宋_GB2312" w:cs="仿宋_GB2312" w:eastAsia="仿宋_GB2312"/>
                <w:sz w:val="20"/>
              </w:rPr>
              <w:t>1.最小干预原则。2.文物优先原则。3.系统兼容原则。4.安全可靠原则。5.风貌协调原则</w:t>
            </w:r>
          </w:p>
          <w:p>
            <w:pPr>
              <w:pStyle w:val="null3"/>
              <w:ind w:firstLine="400"/>
              <w:jc w:val="both"/>
            </w:pPr>
            <w:r>
              <w:rPr>
                <w:rFonts w:ascii="仿宋_GB2312" w:hAnsi="仿宋_GB2312" w:cs="仿宋_GB2312" w:eastAsia="仿宋_GB2312"/>
                <w:sz w:val="20"/>
              </w:rPr>
              <w:t>成果文件要求：按招标方约定时限、份数、格式提交纸质版、电子版全套成果。</w:t>
            </w:r>
          </w:p>
          <w:p>
            <w:pPr>
              <w:pStyle w:val="null3"/>
              <w:ind w:firstLine="402"/>
              <w:jc w:val="both"/>
            </w:pPr>
            <w:r>
              <w:rPr>
                <w:rFonts w:ascii="仿宋_GB2312" w:hAnsi="仿宋_GB2312" w:cs="仿宋_GB2312" w:eastAsia="仿宋_GB2312"/>
                <w:sz w:val="20"/>
                <w:b/>
              </w:rPr>
              <w:t>三、服务范围：</w:t>
            </w:r>
            <w:r>
              <w:rPr>
                <w:rFonts w:ascii="仿宋_GB2312" w:hAnsi="仿宋_GB2312" w:cs="仿宋_GB2312" w:eastAsia="仿宋_GB2312"/>
                <w:sz w:val="20"/>
              </w:rPr>
              <w:t>包含方案设计、施工图设计、工程预算编制、施工过程现场技术支持、竣工验收配合等服务。</w:t>
            </w:r>
          </w:p>
          <w:p>
            <w:pPr>
              <w:pStyle w:val="null3"/>
              <w:ind w:firstLine="402"/>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rPr>
              <w:t>1.国家及地方现行消防、文物保护相关规范标准：</w:t>
            </w:r>
          </w:p>
          <w:p>
            <w:pPr>
              <w:pStyle w:val="null3"/>
              <w:ind w:firstLine="400"/>
              <w:jc w:val="both"/>
            </w:pPr>
            <w:r>
              <w:rPr>
                <w:rFonts w:ascii="仿宋_GB2312" w:hAnsi="仿宋_GB2312" w:cs="仿宋_GB2312" w:eastAsia="仿宋_GB2312"/>
                <w:sz w:val="20"/>
              </w:rPr>
              <w:t>《建筑防火通用规范》（</w:t>
            </w:r>
            <w:r>
              <w:rPr>
                <w:rFonts w:ascii="仿宋_GB2312" w:hAnsi="仿宋_GB2312" w:cs="仿宋_GB2312" w:eastAsia="仿宋_GB2312"/>
                <w:sz w:val="20"/>
              </w:rPr>
              <w:t>GB55037-2022）；</w:t>
            </w:r>
          </w:p>
          <w:p>
            <w:pPr>
              <w:pStyle w:val="null3"/>
              <w:ind w:firstLine="400"/>
              <w:jc w:val="both"/>
            </w:pPr>
            <w:r>
              <w:rPr>
                <w:rFonts w:ascii="仿宋_GB2312" w:hAnsi="仿宋_GB2312" w:cs="仿宋_GB2312" w:eastAsia="仿宋_GB2312"/>
                <w:sz w:val="20"/>
              </w:rPr>
              <w:t>《文物建筑防火设计规范》（</w:t>
            </w:r>
            <w:r>
              <w:rPr>
                <w:rFonts w:ascii="仿宋_GB2312" w:hAnsi="仿宋_GB2312" w:cs="仿宋_GB2312" w:eastAsia="仿宋_GB2312"/>
                <w:sz w:val="20"/>
              </w:rPr>
              <w:t>WW/T0125-2025）；</w:t>
            </w:r>
          </w:p>
          <w:p>
            <w:pPr>
              <w:pStyle w:val="null3"/>
              <w:ind w:firstLine="400"/>
              <w:jc w:val="both"/>
            </w:pPr>
            <w:r>
              <w:rPr>
                <w:rFonts w:ascii="仿宋_GB2312" w:hAnsi="仿宋_GB2312" w:cs="仿宋_GB2312" w:eastAsia="仿宋_GB2312"/>
                <w:sz w:val="20"/>
              </w:rPr>
              <w:t>《消防设施通用规范》（</w:t>
            </w:r>
            <w:r>
              <w:rPr>
                <w:rFonts w:ascii="仿宋_GB2312" w:hAnsi="仿宋_GB2312" w:cs="仿宋_GB2312" w:eastAsia="仿宋_GB2312"/>
                <w:sz w:val="20"/>
              </w:rPr>
              <w:t>GB55036-2022）；</w:t>
            </w:r>
          </w:p>
          <w:p>
            <w:pPr>
              <w:pStyle w:val="null3"/>
              <w:ind w:firstLine="400"/>
              <w:jc w:val="both"/>
            </w:pPr>
            <w:r>
              <w:rPr>
                <w:rFonts w:ascii="仿宋_GB2312" w:hAnsi="仿宋_GB2312" w:cs="仿宋_GB2312" w:eastAsia="仿宋_GB2312"/>
                <w:sz w:val="20"/>
              </w:rPr>
              <w:t>《建筑设计防火规范》（</w:t>
            </w:r>
            <w:r>
              <w:rPr>
                <w:rFonts w:ascii="仿宋_GB2312" w:hAnsi="仿宋_GB2312" w:cs="仿宋_GB2312" w:eastAsia="仿宋_GB2312"/>
                <w:sz w:val="20"/>
              </w:rPr>
              <w:t>GB50016）（2018年版）；</w:t>
            </w:r>
          </w:p>
          <w:p>
            <w:pPr>
              <w:pStyle w:val="null3"/>
              <w:ind w:firstLine="400"/>
              <w:jc w:val="both"/>
            </w:pPr>
            <w:r>
              <w:rPr>
                <w:rFonts w:ascii="仿宋_GB2312" w:hAnsi="仿宋_GB2312" w:cs="仿宋_GB2312" w:eastAsia="仿宋_GB2312"/>
                <w:sz w:val="20"/>
              </w:rPr>
              <w:t>《博物馆建筑设计规范</w:t>
            </w:r>
            <w:r>
              <w:rPr>
                <w:rFonts w:ascii="仿宋_GB2312" w:hAnsi="仿宋_GB2312" w:cs="仿宋_GB2312" w:eastAsia="仿宋_GB2312"/>
                <w:sz w:val="20"/>
              </w:rPr>
              <w:t>》（</w:t>
            </w:r>
            <w:r>
              <w:rPr>
                <w:rFonts w:ascii="仿宋_GB2312" w:hAnsi="仿宋_GB2312" w:cs="仿宋_GB2312" w:eastAsia="仿宋_GB2312"/>
                <w:sz w:val="20"/>
              </w:rPr>
              <w:t>JGJ66-2015）；</w:t>
            </w:r>
          </w:p>
          <w:p>
            <w:pPr>
              <w:pStyle w:val="null3"/>
              <w:ind w:firstLine="400"/>
              <w:jc w:val="both"/>
            </w:pPr>
            <w:r>
              <w:rPr>
                <w:rFonts w:ascii="仿宋_GB2312" w:hAnsi="仿宋_GB2312" w:cs="仿宋_GB2312" w:eastAsia="仿宋_GB2312"/>
                <w:sz w:val="20"/>
              </w:rPr>
              <w:t>《文物建筑和博物馆火灾风险指南及检查指引》（应急消〔</w:t>
            </w:r>
            <w:r>
              <w:rPr>
                <w:rFonts w:ascii="仿宋_GB2312" w:hAnsi="仿宋_GB2312" w:cs="仿宋_GB2312" w:eastAsia="仿宋_GB2312"/>
                <w:sz w:val="20"/>
              </w:rPr>
              <w:t>2021〕164号）；</w:t>
            </w:r>
          </w:p>
          <w:p>
            <w:pPr>
              <w:pStyle w:val="null3"/>
              <w:ind w:firstLine="400"/>
              <w:jc w:val="both"/>
            </w:pPr>
            <w:r>
              <w:rPr>
                <w:rFonts w:ascii="仿宋_GB2312" w:hAnsi="仿宋_GB2312" w:cs="仿宋_GB2312" w:eastAsia="仿宋_GB2312"/>
                <w:sz w:val="20"/>
              </w:rPr>
              <w:t>《自动喷水灭火系统设计规范》（</w:t>
            </w:r>
            <w:r>
              <w:rPr>
                <w:rFonts w:ascii="仿宋_GB2312" w:hAnsi="仿宋_GB2312" w:cs="仿宋_GB2312" w:eastAsia="仿宋_GB2312"/>
                <w:sz w:val="20"/>
              </w:rPr>
              <w:t>GB50084）；</w:t>
            </w:r>
          </w:p>
          <w:p>
            <w:pPr>
              <w:pStyle w:val="null3"/>
              <w:ind w:firstLine="400"/>
              <w:jc w:val="both"/>
            </w:pPr>
            <w:r>
              <w:rPr>
                <w:rFonts w:ascii="仿宋_GB2312" w:hAnsi="仿宋_GB2312" w:cs="仿宋_GB2312" w:eastAsia="仿宋_GB2312"/>
                <w:sz w:val="20"/>
              </w:rPr>
              <w:t>《气体灭火系统设计规范》（</w:t>
            </w:r>
            <w:r>
              <w:rPr>
                <w:rFonts w:ascii="仿宋_GB2312" w:hAnsi="仿宋_GB2312" w:cs="仿宋_GB2312" w:eastAsia="仿宋_GB2312"/>
                <w:sz w:val="20"/>
              </w:rPr>
              <w:t>GB50370）；</w:t>
            </w:r>
          </w:p>
          <w:p>
            <w:pPr>
              <w:pStyle w:val="null3"/>
              <w:ind w:firstLine="400"/>
              <w:jc w:val="both"/>
            </w:pPr>
            <w:r>
              <w:rPr>
                <w:rFonts w:ascii="仿宋_GB2312" w:hAnsi="仿宋_GB2312" w:cs="仿宋_GB2312" w:eastAsia="仿宋_GB2312"/>
                <w:sz w:val="20"/>
              </w:rPr>
              <w:t>2.小雁塔项目现场实测资料、现状勘察资料、原有图纸及档案资料；</w:t>
            </w:r>
          </w:p>
          <w:p>
            <w:pPr>
              <w:pStyle w:val="null3"/>
              <w:ind w:firstLine="400"/>
              <w:jc w:val="both"/>
            </w:pPr>
            <w:r>
              <w:rPr>
                <w:rFonts w:ascii="仿宋_GB2312" w:hAnsi="仿宋_GB2312" w:cs="仿宋_GB2312" w:eastAsia="仿宋_GB2312"/>
                <w:sz w:val="20"/>
              </w:rPr>
              <w:t>3.小雁塔文物保护单位相关保护要求及管理规定。</w:t>
            </w:r>
          </w:p>
          <w:p>
            <w:pPr>
              <w:pStyle w:val="null3"/>
            </w:pPr>
            <w:r>
              <w:rPr>
                <w:rFonts w:ascii="仿宋_GB2312" w:hAnsi="仿宋_GB2312" w:cs="仿宋_GB2312" w:eastAsia="仿宋_GB2312"/>
                <w:sz w:val="20"/>
                <w:b/>
              </w:rPr>
              <w:t xml:space="preserve">  </w:t>
            </w:r>
            <w:r>
              <w:rPr>
                <w:rFonts w:ascii="仿宋_GB2312" w:hAnsi="仿宋_GB2312" w:cs="仿宋_GB2312" w:eastAsia="仿宋_GB2312"/>
                <w:sz w:val="20"/>
                <w:b/>
              </w:rPr>
              <w:t>五、服务标准：</w:t>
            </w:r>
            <w:r>
              <w:rPr>
                <w:rFonts w:ascii="仿宋_GB2312" w:hAnsi="仿宋_GB2312" w:cs="仿宋_GB2312" w:eastAsia="仿宋_GB2312"/>
                <w:sz w:val="20"/>
              </w:rPr>
              <w:t>满足国家现行相关标准及文博行业相关规范要求，通过陕西省文物局组织的专家评审。全部设计文件满足国家现行相关标准及文博行业相关规范要求。设计方案（含设计图纸）、预算文件须通过陕西省文物局组织的专家评审，并根据评审意见进行修改完善。文件格式、深度、份数符合归档及报审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进度款，成果文件交付并验收合格后，达到付款条件起10个工作日内，支付合同总金额的60.0%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（1）服务范围：小雁塔消防升级改造设计项目；（2）服务要求：满足采购需求及采购人要求 ；（3）服务标准：满足采购需求及采购人要求。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供应商须具备工程设计综合甲级资质或工程设计（建筑行业）甲级资质或工程设计建筑行业（建筑工程）专业甲级资质或消防设施工程设计专项甲级资质</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拟派项目负责人须具有一级注册建筑师资格，且在本单位注册；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项目总体设计方案</w:t>
            </w:r>
          </w:p>
        </w:tc>
        <w:tc>
          <w:tcPr>
            <w:tcW w:type="dxa" w:w="2492"/>
          </w:tcPr>
          <w:p>
            <w:pPr>
              <w:pStyle w:val="null3"/>
            </w:pPr>
            <w:r>
              <w:rPr>
                <w:rFonts w:ascii="仿宋_GB2312" w:hAnsi="仿宋_GB2312" w:cs="仿宋_GB2312" w:eastAsia="仿宋_GB2312"/>
              </w:rPr>
              <w:t>充分契合本项目全国重点文保单位属性，结合小雁塔文物风貌、地下遗址、原有消防现状制定合规、针对性设计思路，思路清晰贴合实际，提供完善的、可靠的整体设计方案。 实施方案内容得当、措施全面、合理可行、项目针对性强得15分；实施方案内容符合要求，内容全面、针对性较强得12分；实施方案内容较全面、针对性较强得10分；实施方案内容基本涵盖，具备针对性得8分； 实施方案内容简要、措施不够全面、具备针对性得6分；实施方案涵盖内容有缺失得4分；实施方案空泛或无实质性内容得2分；未提供不得分。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服务保障措施、进度计划、各阶段度控制保证措施</w:t>
            </w:r>
          </w:p>
        </w:tc>
        <w:tc>
          <w:tcPr>
            <w:tcW w:type="dxa" w:w="2492"/>
          </w:tcPr>
          <w:p>
            <w:pPr>
              <w:pStyle w:val="null3"/>
            </w:pPr>
            <w:r>
              <w:rPr>
                <w:rFonts w:ascii="仿宋_GB2312" w:hAnsi="仿宋_GB2312" w:cs="仿宋_GB2312" w:eastAsia="仿宋_GB2312"/>
              </w:rPr>
              <w:t>措施内容详尽、科学、合理，可行性强得12分；措施内较详尽、较科学合理，可行性较强得9分；措施基本科学合理，可行性较强得7分； 措施基本合理，具备针对性得5分； 措施部分合理，具备针对性得3分； 措施内容简单笼统，无针对性得1分；未提供不得分。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对项目重点、难点进行分析，并提供相对应的解决措施</w:t>
            </w:r>
          </w:p>
        </w:tc>
        <w:tc>
          <w:tcPr>
            <w:tcW w:type="dxa" w:w="2492"/>
          </w:tcPr>
          <w:p>
            <w:pPr>
              <w:pStyle w:val="null3"/>
            </w:pPr>
            <w:r>
              <w:rPr>
                <w:rFonts w:ascii="仿宋_GB2312" w:hAnsi="仿宋_GB2312" w:cs="仿宋_GB2312" w:eastAsia="仿宋_GB2312"/>
              </w:rPr>
              <w:t>重点、难点工作环节全面把握，措施科学、合理、可行性强得10分；重点、难点分析较为准确，措施较科学、合理、可行性较强得7分；重点、难点认识分析基本准确，措施基本科学合理，可行性较强得5分；重点、难点认识分析部分准确，措施部分合理，具备对性得3分；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设计成果质量保证措施</w:t>
            </w:r>
          </w:p>
        </w:tc>
        <w:tc>
          <w:tcPr>
            <w:tcW w:type="dxa" w:w="2492"/>
          </w:tcPr>
          <w:p>
            <w:pPr>
              <w:pStyle w:val="null3"/>
            </w:pPr>
            <w:r>
              <w:rPr>
                <w:rFonts w:ascii="仿宋_GB2312" w:hAnsi="仿宋_GB2312" w:cs="仿宋_GB2312" w:eastAsia="仿宋_GB2312"/>
              </w:rPr>
              <w:t>措施内容详尽、科学、合理，可行性强得10分；措施内较详尽、较科学合理，可行性较强得7分；措施基本科学合理，可行性较强得5分； 措施部分合理，具备可行性得3分；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投资控制措施及经济指标分析</w:t>
            </w:r>
          </w:p>
        </w:tc>
        <w:tc>
          <w:tcPr>
            <w:tcW w:type="dxa" w:w="2492"/>
          </w:tcPr>
          <w:p>
            <w:pPr>
              <w:pStyle w:val="null3"/>
            </w:pPr>
            <w:r>
              <w:rPr>
                <w:rFonts w:ascii="仿宋_GB2312" w:hAnsi="仿宋_GB2312" w:cs="仿宋_GB2312" w:eastAsia="仿宋_GB2312"/>
              </w:rPr>
              <w:t>措施内容详尽、科学、合理，可行性强得10分；措施内较详尽、较科学合理，可行性较强得7分；措施基本科学合理，可行性较强得5分； 措施部分合理，具备可行性得3分；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供应商对本项目工作提出合理化建议，建议合理、可行性强得7分；建议较合理、较可行得4分；建议基本合理、基本可行得2分；内容空泛或无实质性内容得1分；未提供不得分。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拟投入本项目的人员</w:t>
            </w:r>
          </w:p>
        </w:tc>
        <w:tc>
          <w:tcPr>
            <w:tcW w:type="dxa" w:w="2492"/>
          </w:tcPr>
          <w:p>
            <w:pPr>
              <w:pStyle w:val="null3"/>
            </w:pPr>
            <w:r>
              <w:rPr>
                <w:rFonts w:ascii="仿宋_GB2312" w:hAnsi="仿宋_GB2312" w:cs="仿宋_GB2312" w:eastAsia="仿宋_GB2312"/>
              </w:rPr>
              <w:t>有针对本项目的专业团队，人员配备数量充足，组织结构合理，各专业配置齐全，完全满足项目实施需求得10分；人员配备数量充足，组织结构较合理，各专业配置较齐全 ，较满足项目实施需求得7分；人员配备数量较充足，组织结构基本合理，各专业配置基本齐全，基本满足项目需求4分；人员配备数量较少，组织结构混乱，部分满足项目需求得2分；未提供不得分。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有利于采购人的实质性服务承诺以及后续服务的安排及保证措施的承诺. 承诺可行性、执行性完全满足采购人要求得6分；承诺可行性、执行性基本满足采购人要求得4分；承诺可行性、执行性部分满足采购人要求得2分；未提供不得分。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即满足磋商文件要求且磋商价格最低的最终磋商报价为磋商基准价，其价格分为满分。价格分按照下列公式计算。 报价得分=（评标基准价/有效报价）×价格权重（10%）×100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