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D668E">
      <w:pPr>
        <w:keepNext w:val="0"/>
        <w:keepLines w:val="0"/>
        <w:pageBreakBefore w:val="0"/>
        <w:kinsoku/>
        <w:wordWrap/>
        <w:topLinePunct w:val="0"/>
        <w:bidi w:val="0"/>
        <w:snapToGrid/>
        <w:spacing w:line="336" w:lineRule="auto"/>
        <w:jc w:val="center"/>
        <w:textAlignment w:val="auto"/>
        <w:rPr>
          <w:rFonts w:hint="eastAsia" w:ascii="宋体" w:hAnsi="宋体" w:eastAsia="宋体" w:cs="宋体"/>
          <w:color w:val="auto"/>
          <w:sz w:val="24"/>
          <w:szCs w:val="32"/>
          <w:highlight w:val="none"/>
          <w:lang w:eastAsia="zh-CN"/>
        </w:rPr>
      </w:pPr>
      <w:r>
        <w:rPr>
          <w:rFonts w:hint="eastAsia" w:ascii="宋体" w:hAnsi="宋体" w:cs="宋体"/>
          <w:b/>
          <w:bCs/>
          <w:color w:val="auto"/>
          <w:sz w:val="32"/>
          <w:szCs w:val="32"/>
          <w:highlight w:val="none"/>
        </w:rPr>
        <w:t>合同草案条款</w:t>
      </w:r>
    </w:p>
    <w:p w14:paraId="6DAF8886">
      <w:pPr>
        <w:keepNext w:val="0"/>
        <w:keepLines w:val="0"/>
        <w:pageBreakBefore w:val="0"/>
        <w:wordWrap/>
        <w:topLinePunct w:val="0"/>
        <w:bidi w:val="0"/>
        <w:spacing w:line="336"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采购人（全称）：</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；（以下简称甲方）</w:t>
      </w:r>
    </w:p>
    <w:p w14:paraId="436711D9">
      <w:pPr>
        <w:keepNext w:val="0"/>
        <w:keepLines w:val="0"/>
        <w:pageBreakBefore w:val="0"/>
        <w:wordWrap/>
        <w:topLinePunct w:val="0"/>
        <w:bidi w:val="0"/>
        <w:spacing w:line="336" w:lineRule="auto"/>
        <w:ind w:firstLine="482" w:firstLineChars="200"/>
        <w:rPr>
          <w:rFonts w:ascii="宋体" w:hAnsi="宋体" w:eastAsia="宋体" w:cs="宋体"/>
          <w:sz w:val="24"/>
          <w:szCs w:val="24"/>
          <w:highlight w:val="none"/>
          <w:u w:val="single"/>
          <w:lang w:eastAsia="zh-CN"/>
        </w:rPr>
      </w:pPr>
      <w:r>
        <w:rPr>
          <w:rFonts w:hint="eastAsia" w:ascii="宋体" w:hAnsi="宋体" w:eastAsia="宋体" w:cs="宋体"/>
          <w:b/>
          <w:sz w:val="24"/>
          <w:szCs w:val="24"/>
          <w:highlight w:val="none"/>
          <w:lang w:eastAsia="zh-CN"/>
        </w:rPr>
        <w:t>成交供应商（全称）：</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；（以下简称乙方）</w:t>
      </w:r>
    </w:p>
    <w:p w14:paraId="10B96A8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eastAsia="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6A658011">
      <w:pPr>
        <w:keepNext w:val="0"/>
        <w:keepLines w:val="0"/>
        <w:pageBreakBefore w:val="0"/>
        <w:kinsoku/>
        <w:wordWrap/>
        <w:topLinePunct w:val="0"/>
        <w:bidi w:val="0"/>
        <w:snapToGrid/>
        <w:spacing w:line="336"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64F6C42C">
      <w:pPr>
        <w:keepNext w:val="0"/>
        <w:keepLines w:val="0"/>
        <w:pageBreakBefore w:val="0"/>
        <w:kinsoku/>
        <w:wordWrap/>
        <w:topLinePunct w:val="0"/>
        <w:autoSpaceDE w:val="0"/>
        <w:autoSpaceDN w:val="0"/>
        <w:bidi w:val="0"/>
        <w:adjustRightInd w:val="0"/>
        <w:snapToGrid/>
        <w:spacing w:line="336"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52583693">
      <w:pPr>
        <w:keepNext w:val="0"/>
        <w:keepLines w:val="0"/>
        <w:pageBreakBefore w:val="0"/>
        <w:kinsoku/>
        <w:wordWrap/>
        <w:topLinePunct w:val="0"/>
        <w:autoSpaceDE w:val="0"/>
        <w:autoSpaceDN w:val="0"/>
        <w:bidi w:val="0"/>
        <w:adjustRightInd w:val="0"/>
        <w:snapToGrid/>
        <w:spacing w:line="336"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64248B0B">
      <w:pPr>
        <w:keepNext w:val="0"/>
        <w:keepLines w:val="0"/>
        <w:pageBreakBefore w:val="0"/>
        <w:kinsoku/>
        <w:wordWrap/>
        <w:topLinePunct w:val="0"/>
        <w:autoSpaceDE w:val="0"/>
        <w:autoSpaceDN w:val="0"/>
        <w:bidi w:val="0"/>
        <w:adjustRightInd w:val="0"/>
        <w:snapToGrid/>
        <w:spacing w:line="336"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7E06A1B2">
      <w:pPr>
        <w:keepNext w:val="0"/>
        <w:keepLines w:val="0"/>
        <w:pageBreakBefore w:val="0"/>
        <w:kinsoku/>
        <w:wordWrap/>
        <w:topLinePunct w:val="0"/>
        <w:autoSpaceDE w:val="0"/>
        <w:autoSpaceDN w:val="0"/>
        <w:bidi w:val="0"/>
        <w:adjustRightInd w:val="0"/>
        <w:snapToGrid/>
        <w:spacing w:line="336"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21D38594">
      <w:pPr>
        <w:keepNext w:val="0"/>
        <w:keepLines w:val="0"/>
        <w:pageBreakBefore w:val="0"/>
        <w:kinsoku/>
        <w:wordWrap/>
        <w:topLinePunct w:val="0"/>
        <w:autoSpaceDE w:val="0"/>
        <w:autoSpaceDN w:val="0"/>
        <w:bidi w:val="0"/>
        <w:adjustRightInd w:val="0"/>
        <w:snapToGrid/>
        <w:spacing w:line="336"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61AE3D96">
      <w:pPr>
        <w:keepNext w:val="0"/>
        <w:keepLines w:val="0"/>
        <w:pageBreakBefore w:val="0"/>
        <w:kinsoku/>
        <w:wordWrap/>
        <w:topLinePunct w:val="0"/>
        <w:autoSpaceDE w:val="0"/>
        <w:autoSpaceDN w:val="0"/>
        <w:bidi w:val="0"/>
        <w:adjustRightInd w:val="0"/>
        <w:snapToGrid/>
        <w:spacing w:line="336"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7354B74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13B755A3">
      <w:pPr>
        <w:keepNext w:val="0"/>
        <w:keepLines w:val="0"/>
        <w:pageBreakBefore w:val="0"/>
        <w:kinsoku/>
        <w:wordWrap/>
        <w:topLinePunct w:val="0"/>
        <w:autoSpaceDE w:val="0"/>
        <w:autoSpaceDN w:val="0"/>
        <w:bidi w:val="0"/>
        <w:adjustRightInd w:val="0"/>
        <w:snapToGrid/>
        <w:spacing w:line="336"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255FC7EB">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7C57ADB9">
      <w:pPr>
        <w:keepNext w:val="0"/>
        <w:keepLines w:val="0"/>
        <w:pageBreakBefore w:val="0"/>
        <w:kinsoku/>
        <w:wordWrap/>
        <w:overflowPunct w:val="0"/>
        <w:topLinePunct w:val="0"/>
        <w:bidi w:val="0"/>
        <w:snapToGrid/>
        <w:spacing w:line="336"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43B4AF64">
      <w:pPr>
        <w:keepNext w:val="0"/>
        <w:keepLines w:val="0"/>
        <w:pageBreakBefore w:val="0"/>
        <w:kinsoku/>
        <w:wordWrap/>
        <w:topLinePunct w:val="0"/>
        <w:bidi w:val="0"/>
        <w:snapToGrid/>
        <w:spacing w:line="336"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23F017E3">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5FAA8C6B">
      <w:pPr>
        <w:keepNext w:val="0"/>
        <w:keepLines w:val="0"/>
        <w:pageBreakBefore w:val="0"/>
        <w:kinsoku/>
        <w:wordWrap/>
        <w:topLinePunct w:val="0"/>
        <w:bidi w:val="0"/>
        <w:snapToGrid/>
        <w:spacing w:line="336"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w:t>
      </w:r>
      <w:r>
        <w:rPr>
          <w:rFonts w:hint="eastAsia" w:ascii="宋体" w:hAnsi="宋体" w:eastAsia="宋体" w:cs="宋体"/>
          <w:color w:val="auto"/>
          <w:sz w:val="24"/>
          <w:highlight w:val="none"/>
          <w:lang w:val="en-US" w:eastAsia="zh-CN"/>
        </w:rPr>
        <w:t>合同签订后30日内完成</w:t>
      </w:r>
      <w:r>
        <w:rPr>
          <w:rFonts w:hint="eastAsia" w:ascii="宋体" w:hAnsi="宋体" w:eastAsia="宋体" w:cs="宋体"/>
          <w:sz w:val="24"/>
          <w:szCs w:val="24"/>
          <w:highlight w:val="none"/>
          <w:lang w:val="en-US" w:eastAsia="zh-CN"/>
        </w:rPr>
        <w:t>。</w:t>
      </w:r>
    </w:p>
    <w:p w14:paraId="6AF3A05F">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服务地点：采购人指定地点</w:t>
      </w:r>
    </w:p>
    <w:p w14:paraId="764448F1">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服务质量</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满足国家现行相关标准及文博行业相关规范要求，通过陕西省文物局组织的专家评审。全部设计文件满足国家现行相关标准及文博行业相关规范要求。设计方案（含设计图纸）、预算文件须通过陕西省文物局组织的专家评审，并根据评审意见进行修改完善。文件格式、深度、份数符合归档及报审要求。</w:t>
      </w:r>
    </w:p>
    <w:p w14:paraId="02016CDB">
      <w:pPr>
        <w:keepNext w:val="0"/>
        <w:keepLines w:val="0"/>
        <w:pageBreakBefore w:val="0"/>
        <w:kinsoku/>
        <w:wordWrap/>
        <w:topLinePunct w:val="0"/>
        <w:bidi w:val="0"/>
        <w:snapToGrid/>
        <w:spacing w:line="336"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5261612C">
      <w:pPr>
        <w:keepNext w:val="0"/>
        <w:keepLines w:val="0"/>
        <w:pageBreakBefore w:val="0"/>
        <w:kinsoku/>
        <w:wordWrap/>
        <w:topLinePunct w:val="0"/>
        <w:bidi w:val="0"/>
        <w:snapToGrid/>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价合同</w:t>
      </w:r>
      <w:r>
        <w:rPr>
          <w:rFonts w:hint="eastAsia" w:ascii="宋体" w:hAnsi="宋体" w:eastAsia="宋体" w:cs="宋体"/>
          <w:color w:val="auto"/>
          <w:sz w:val="24"/>
          <w:highlight w:val="none"/>
          <w:lang w:eastAsia="zh-CN"/>
        </w:rPr>
        <w:t>。</w:t>
      </w:r>
    </w:p>
    <w:p w14:paraId="746F3487">
      <w:pPr>
        <w:keepNext w:val="0"/>
        <w:keepLines w:val="0"/>
        <w:pageBreakBefore w:val="0"/>
        <w:kinsoku/>
        <w:wordWrap/>
        <w:topLinePunct w:val="0"/>
        <w:bidi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2CE972F8">
      <w:pPr>
        <w:keepNext w:val="0"/>
        <w:keepLines w:val="0"/>
        <w:pageBreakBefore w:val="0"/>
        <w:kinsoku/>
        <w:wordWrap/>
        <w:overflowPunct/>
        <w:topLinePunct w:val="0"/>
        <w:autoSpaceDE/>
        <w:autoSpaceDN/>
        <w:bidi w:val="0"/>
        <w:adjustRightInd/>
        <w:snapToGrid/>
        <w:spacing w:line="336" w:lineRule="auto"/>
        <w:ind w:left="0" w:leftChars="0" w:right="0" w:rightChars="0" w:firstLine="480" w:firstLineChars="200"/>
        <w:textAlignment w:val="auto"/>
        <w:outlineLvl w:val="9"/>
        <w:rPr>
          <w:rFonts w:hint="eastAsia" w:ascii="宋体" w:hAnsi="宋体" w:eastAsia="宋体" w:cs="宋体"/>
          <w:bCs/>
          <w:color w:val="auto"/>
          <w:sz w:val="24"/>
          <w:highlight w:val="none"/>
          <w:lang w:val="en-US" w:eastAsia="zh-CN"/>
        </w:rPr>
      </w:pPr>
      <w:r>
        <w:rPr>
          <w:rFonts w:hint="eastAsia" w:ascii="宋体" w:hAnsi="宋体" w:eastAsia="宋体" w:cs="宋体"/>
          <w:color w:val="auto"/>
          <w:sz w:val="24"/>
          <w:highlight w:val="none"/>
        </w:rPr>
        <w:t>本项目计价模式为</w:t>
      </w:r>
      <w:r>
        <w:rPr>
          <w:rFonts w:hint="eastAsia" w:ascii="宋体" w:hAnsi="宋体" w:eastAsia="宋体" w:cs="宋体"/>
          <w:color w:val="auto"/>
          <w:sz w:val="24"/>
          <w:highlight w:val="none"/>
          <w:lang w:val="en-US" w:eastAsia="zh-CN"/>
        </w:rPr>
        <w:t>固定总价</w:t>
      </w:r>
      <w:r>
        <w:rPr>
          <w:rFonts w:hint="eastAsia" w:ascii="宋体" w:hAnsi="宋体" w:eastAsia="宋体" w:cs="宋体"/>
          <w:color w:val="auto"/>
          <w:sz w:val="24"/>
          <w:highlight w:val="none"/>
        </w:rPr>
        <w:t>，磋商报价包括但不限于指项目完成并经验收合格的所有费用，包括项目费用、国家按现行税收政策征收的一切税费等</w:t>
      </w:r>
      <w:r>
        <w:rPr>
          <w:rFonts w:hint="eastAsia" w:ascii="宋体" w:hAnsi="宋体" w:eastAsia="宋体" w:cs="宋体"/>
          <w:color w:val="auto"/>
          <w:sz w:val="24"/>
          <w:highlight w:val="none"/>
          <w:lang w:eastAsia="zh-CN"/>
        </w:rPr>
        <w:t>。</w:t>
      </w:r>
    </w:p>
    <w:p w14:paraId="3F26E4BA">
      <w:pPr>
        <w:keepNext w:val="0"/>
        <w:keepLines w:val="0"/>
        <w:pageBreakBefore w:val="0"/>
        <w:widowControl/>
        <w:numPr>
          <w:ilvl w:val="0"/>
          <w:numId w:val="0"/>
        </w:numPr>
        <w:tabs>
          <w:tab w:val="left" w:pos="426"/>
        </w:tabs>
        <w:kinsoku/>
        <w:wordWrap/>
        <w:overflowPunct/>
        <w:topLinePunct w:val="0"/>
        <w:autoSpaceDE/>
        <w:autoSpaceDN/>
        <w:bidi w:val="0"/>
        <w:adjustRightInd w:val="0"/>
        <w:snapToGrid/>
        <w:spacing w:line="336"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snapToGrid w:val="0"/>
          <w:color w:val="auto"/>
          <w:kern w:val="0"/>
          <w:sz w:val="24"/>
          <w:szCs w:val="21"/>
          <w:highlight w:val="none"/>
          <w:lang w:val="en-US" w:eastAsia="en-US" w:bidi="ar-SA"/>
        </w:rPr>
        <w:t>2.</w:t>
      </w:r>
      <w:r>
        <w:rPr>
          <w:rFonts w:hint="eastAsia" w:ascii="宋体" w:hAnsi="宋体" w:eastAsia="宋体" w:cs="宋体"/>
          <w:bCs/>
          <w:color w:val="auto"/>
          <w:sz w:val="24"/>
          <w:highlight w:val="none"/>
        </w:rPr>
        <w:t>付款方式：</w:t>
      </w:r>
    </w:p>
    <w:p w14:paraId="5EFAB057">
      <w:pPr>
        <w:keepNext w:val="0"/>
        <w:keepLines w:val="0"/>
        <w:pageBreakBefore w:val="0"/>
        <w:widowControl/>
        <w:tabs>
          <w:tab w:val="left" w:pos="426"/>
        </w:tabs>
        <w:kinsoku/>
        <w:wordWrap/>
        <w:overflowPunct/>
        <w:topLinePunct w:val="0"/>
        <w:autoSpaceDE/>
        <w:autoSpaceDN/>
        <w:bidi w:val="0"/>
        <w:adjustRightInd w:val="0"/>
        <w:snapToGrid/>
        <w:spacing w:line="336" w:lineRule="auto"/>
        <w:ind w:firstLine="480" w:firstLineChars="200"/>
        <w:jc w:val="left"/>
        <w:textAlignment w:val="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lang w:val="en-US" w:eastAsia="zh-CN"/>
        </w:rPr>
        <w:t>合同签订后，</w:t>
      </w:r>
      <w:r>
        <w:rPr>
          <w:rFonts w:hint="eastAsia" w:ascii="宋体" w:hAnsi="宋体" w:eastAsia="宋体" w:cs="宋体"/>
          <w:bCs/>
          <w:color w:val="auto"/>
          <w:sz w:val="24"/>
          <w:highlight w:val="none"/>
          <w:lang w:eastAsia="zh-CN"/>
        </w:rPr>
        <w:t>达到付款条件起</w:t>
      </w:r>
      <w:r>
        <w:rPr>
          <w:rFonts w:hint="eastAsia" w:ascii="宋体" w:hAnsi="宋体" w:eastAsia="宋体" w:cs="宋体"/>
          <w:bCs/>
          <w:color w:val="auto"/>
          <w:sz w:val="24"/>
          <w:highlight w:val="none"/>
          <w:lang w:val="en-US" w:eastAsia="zh-CN"/>
        </w:rPr>
        <w:t>10个工作</w:t>
      </w:r>
      <w:r>
        <w:rPr>
          <w:rFonts w:hint="eastAsia" w:ascii="宋体" w:hAnsi="宋体" w:eastAsia="宋体" w:cs="宋体"/>
          <w:bCs/>
          <w:color w:val="auto"/>
          <w:sz w:val="24"/>
          <w:highlight w:val="none"/>
          <w:lang w:eastAsia="zh-CN"/>
        </w:rPr>
        <w:t xml:space="preserve">日内，支付合同总金额的 </w:t>
      </w:r>
      <w:r>
        <w:rPr>
          <w:rFonts w:hint="eastAsia" w:ascii="宋体" w:hAnsi="宋体" w:eastAsia="宋体" w:cs="宋体"/>
          <w:bCs/>
          <w:color w:val="auto"/>
          <w:sz w:val="24"/>
          <w:highlight w:val="none"/>
          <w:lang w:val="en-US" w:eastAsia="zh-CN"/>
        </w:rPr>
        <w:t>40</w:t>
      </w:r>
      <w:r>
        <w:rPr>
          <w:rFonts w:hint="eastAsia" w:ascii="宋体" w:hAnsi="宋体" w:eastAsia="宋体" w:cs="宋体"/>
          <w:bCs/>
          <w:color w:val="auto"/>
          <w:sz w:val="24"/>
          <w:highlight w:val="none"/>
          <w:lang w:eastAsia="zh-CN"/>
        </w:rPr>
        <w:t>.00%；</w:t>
      </w:r>
      <w:r>
        <w:rPr>
          <w:rFonts w:hint="eastAsia" w:ascii="宋体" w:hAnsi="宋体" w:eastAsia="宋体" w:cs="宋体"/>
          <w:bCs/>
          <w:color w:val="auto"/>
          <w:sz w:val="24"/>
          <w:highlight w:val="none"/>
          <w:lang w:val="en-US" w:eastAsia="zh-CN"/>
        </w:rPr>
        <w:t>成果文件交付并验收合格后，</w:t>
      </w:r>
      <w:r>
        <w:rPr>
          <w:rFonts w:hint="eastAsia" w:ascii="宋体" w:hAnsi="宋体" w:eastAsia="宋体" w:cs="宋体"/>
          <w:bCs/>
          <w:color w:val="auto"/>
          <w:sz w:val="24"/>
          <w:highlight w:val="none"/>
          <w:lang w:eastAsia="zh-CN"/>
        </w:rPr>
        <w:t>达到付款条件起</w:t>
      </w:r>
      <w:r>
        <w:rPr>
          <w:rFonts w:hint="eastAsia" w:ascii="宋体" w:hAnsi="宋体" w:eastAsia="宋体" w:cs="宋体"/>
          <w:bCs/>
          <w:color w:val="auto"/>
          <w:sz w:val="24"/>
          <w:highlight w:val="none"/>
          <w:lang w:val="en-US" w:eastAsia="zh-CN"/>
        </w:rPr>
        <w:t>10个工作</w:t>
      </w:r>
      <w:r>
        <w:rPr>
          <w:rFonts w:hint="eastAsia" w:ascii="宋体" w:hAnsi="宋体" w:eastAsia="宋体" w:cs="宋体"/>
          <w:bCs/>
          <w:color w:val="auto"/>
          <w:sz w:val="24"/>
          <w:highlight w:val="none"/>
          <w:lang w:eastAsia="zh-CN"/>
        </w:rPr>
        <w:t xml:space="preserve">日内，支付合同总金额的 </w:t>
      </w:r>
      <w:r>
        <w:rPr>
          <w:rFonts w:hint="eastAsia" w:ascii="宋体" w:hAnsi="宋体" w:eastAsia="宋体" w:cs="宋体"/>
          <w:bCs/>
          <w:color w:val="auto"/>
          <w:sz w:val="24"/>
          <w:highlight w:val="none"/>
          <w:lang w:val="en-US" w:eastAsia="zh-CN"/>
        </w:rPr>
        <w:t>60</w:t>
      </w:r>
      <w:r>
        <w:rPr>
          <w:rFonts w:hint="eastAsia" w:ascii="宋体" w:hAnsi="宋体" w:eastAsia="宋体" w:cs="宋体"/>
          <w:bCs/>
          <w:color w:val="auto"/>
          <w:sz w:val="24"/>
          <w:highlight w:val="none"/>
          <w:lang w:eastAsia="zh-CN"/>
        </w:rPr>
        <w:t>.00%。</w:t>
      </w:r>
    </w:p>
    <w:p w14:paraId="2DCDBF31">
      <w:pPr>
        <w:keepNext w:val="0"/>
        <w:keepLines w:val="0"/>
        <w:pageBreakBefore w:val="0"/>
        <w:widowControl/>
        <w:tabs>
          <w:tab w:val="left" w:pos="426"/>
        </w:tabs>
        <w:kinsoku/>
        <w:wordWrap/>
        <w:overflowPunct/>
        <w:topLinePunct w:val="0"/>
        <w:autoSpaceDE/>
        <w:autoSpaceDN/>
        <w:bidi w:val="0"/>
        <w:adjustRightInd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0478D814">
      <w:pPr>
        <w:keepNext w:val="0"/>
        <w:keepLines w:val="0"/>
        <w:pageBreakBefore w:val="0"/>
        <w:widowControl/>
        <w:tabs>
          <w:tab w:val="left" w:pos="426"/>
        </w:tabs>
        <w:kinsoku/>
        <w:wordWrap/>
        <w:topLinePunct w:val="0"/>
        <w:bidi w:val="0"/>
        <w:adjustRightInd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45D1C908">
      <w:pPr>
        <w:keepNext w:val="0"/>
        <w:keepLines w:val="0"/>
        <w:pageBreakBefore w:val="0"/>
        <w:widowControl/>
        <w:tabs>
          <w:tab w:val="left" w:pos="426"/>
        </w:tabs>
        <w:kinsoku/>
        <w:wordWrap/>
        <w:topLinePunct w:val="0"/>
        <w:bidi w:val="0"/>
        <w:adjustRightInd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0048035D">
      <w:pPr>
        <w:keepNext w:val="0"/>
        <w:keepLines w:val="0"/>
        <w:pageBreakBefore w:val="0"/>
        <w:widowControl/>
        <w:tabs>
          <w:tab w:val="left" w:pos="426"/>
        </w:tabs>
        <w:kinsoku/>
        <w:wordWrap/>
        <w:topLinePunct w:val="0"/>
        <w:bidi w:val="0"/>
        <w:adjustRightInd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5961B831">
      <w:pPr>
        <w:keepNext w:val="0"/>
        <w:keepLines w:val="0"/>
        <w:pageBreakBefore w:val="0"/>
        <w:widowControl/>
        <w:tabs>
          <w:tab w:val="left" w:pos="426"/>
        </w:tabs>
        <w:kinsoku/>
        <w:wordWrap/>
        <w:overflowPunct/>
        <w:topLinePunct w:val="0"/>
        <w:autoSpaceDE/>
        <w:autoSpaceDN/>
        <w:bidi w:val="0"/>
        <w:adjustRightInd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甲方付款前，乙方应向甲方开具正式等额发票，否则甲方有权延迟履行付款义务。</w:t>
      </w:r>
    </w:p>
    <w:p w14:paraId="2BCDFFB3">
      <w:pPr>
        <w:keepNext w:val="0"/>
        <w:keepLines w:val="0"/>
        <w:pageBreakBefore w:val="0"/>
        <w:kinsoku/>
        <w:wordWrap/>
        <w:topLinePunct w:val="0"/>
        <w:bidi w:val="0"/>
        <w:snapToGrid/>
        <w:spacing w:line="336"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49382B86">
      <w:pPr>
        <w:pStyle w:val="6"/>
        <w:keepNext w:val="0"/>
        <w:keepLines w:val="0"/>
        <w:pageBreakBefore w:val="0"/>
        <w:kinsoku/>
        <w:wordWrap/>
        <w:topLinePunct w:val="0"/>
        <w:bidi w:val="0"/>
        <w:snapToGrid/>
        <w:spacing w:line="336"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3A7FD8BA">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1.乙方在为甲方提供服务时所形成的成果及成果的知识产权归甲方所有。</w:t>
      </w:r>
    </w:p>
    <w:p w14:paraId="5362433C">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bCs/>
          <w:sz w:val="24"/>
          <w:szCs w:val="24"/>
          <w:lang w:eastAsia="zh-CN"/>
        </w:rPr>
        <w:t>甲方有权随时了解乙方的工作进展情况，并对服务过程进行监督检查</w:t>
      </w:r>
      <w:r>
        <w:rPr>
          <w:rFonts w:hint="eastAsia" w:ascii="宋体" w:hAnsi="宋体" w:eastAsia="宋体" w:cs="宋体"/>
          <w:sz w:val="24"/>
          <w:highlight w:val="none"/>
        </w:rPr>
        <w:t>。</w:t>
      </w:r>
    </w:p>
    <w:p w14:paraId="58D939E6">
      <w:pPr>
        <w:keepNext w:val="0"/>
        <w:keepLines w:val="0"/>
        <w:pageBreakBefore w:val="0"/>
        <w:kinsoku/>
        <w:wordWrap/>
        <w:topLinePunct w:val="0"/>
        <w:bidi w:val="0"/>
        <w:snapToGrid/>
        <w:spacing w:line="336"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3</w:t>
      </w:r>
      <w:r>
        <w:rPr>
          <w:rFonts w:hint="eastAsia" w:ascii="宋体" w:hAnsi="宋体" w:eastAsia="宋体" w:cs="宋体"/>
          <w:sz w:val="24"/>
          <w:highlight w:val="none"/>
          <w:lang w:eastAsia="zh-CN"/>
        </w:rPr>
        <w:t>.甲方有权对乙方的</w:t>
      </w:r>
      <w:r>
        <w:rPr>
          <w:rFonts w:hint="eastAsia" w:ascii="宋体" w:hAnsi="宋体" w:eastAsia="宋体" w:cs="宋体"/>
          <w:sz w:val="24"/>
          <w:highlight w:val="none"/>
          <w:lang w:val="en-US" w:eastAsia="zh-CN"/>
        </w:rPr>
        <w:t>设计服务</w:t>
      </w:r>
      <w:r>
        <w:rPr>
          <w:rFonts w:hint="eastAsia" w:ascii="宋体" w:hAnsi="宋体" w:eastAsia="宋体" w:cs="宋体"/>
          <w:sz w:val="24"/>
          <w:highlight w:val="none"/>
          <w:lang w:eastAsia="zh-CN"/>
        </w:rPr>
        <w:t>提出修改意见，使乙方</w:t>
      </w:r>
      <w:r>
        <w:rPr>
          <w:rFonts w:hint="eastAsia" w:ascii="宋体" w:hAnsi="宋体" w:eastAsia="宋体" w:cs="宋体"/>
          <w:sz w:val="24"/>
          <w:highlight w:val="none"/>
          <w:lang w:val="en-US" w:eastAsia="zh-CN"/>
        </w:rPr>
        <w:t>设计</w:t>
      </w:r>
      <w:r>
        <w:rPr>
          <w:rFonts w:hint="eastAsia" w:ascii="宋体" w:hAnsi="宋体" w:eastAsia="宋体" w:cs="宋体"/>
          <w:sz w:val="24"/>
          <w:highlight w:val="none"/>
          <w:lang w:eastAsia="zh-CN"/>
        </w:rPr>
        <w:t>服务符合标准要求</w:t>
      </w:r>
      <w:r>
        <w:rPr>
          <w:rFonts w:hint="eastAsia" w:ascii="宋体" w:hAnsi="宋体" w:eastAsia="宋体" w:cs="宋体"/>
          <w:sz w:val="24"/>
          <w:highlight w:val="none"/>
          <w:lang w:val="en-US" w:eastAsia="zh-CN"/>
        </w:rPr>
        <w:t>。</w:t>
      </w:r>
    </w:p>
    <w:p w14:paraId="3961B41F">
      <w:pPr>
        <w:keepNext w:val="0"/>
        <w:keepLines w:val="0"/>
        <w:pageBreakBefore w:val="0"/>
        <w:kinsoku/>
        <w:wordWrap/>
        <w:topLinePunct w:val="0"/>
        <w:bidi w:val="0"/>
        <w:snapToGrid/>
        <w:spacing w:line="336"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乙方在服务期间出现重大失误的,甲方有权</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协议,并</w:t>
      </w:r>
      <w:r>
        <w:rPr>
          <w:rFonts w:hint="eastAsia" w:ascii="宋体" w:hAnsi="宋体" w:eastAsia="宋体" w:cs="宋体"/>
          <w:sz w:val="24"/>
          <w:highlight w:val="none"/>
          <w:lang w:val="en-US" w:eastAsia="zh-CN"/>
        </w:rPr>
        <w:t>要求</w:t>
      </w:r>
      <w:r>
        <w:rPr>
          <w:rFonts w:hint="eastAsia" w:ascii="宋体" w:hAnsi="宋体" w:eastAsia="宋体" w:cs="宋体"/>
          <w:sz w:val="24"/>
          <w:highlight w:val="none"/>
        </w:rPr>
        <w:t>乙方</w:t>
      </w:r>
      <w:r>
        <w:rPr>
          <w:rFonts w:hint="eastAsia" w:ascii="宋体" w:hAnsi="宋体" w:eastAsia="宋体" w:cs="宋体"/>
          <w:sz w:val="24"/>
          <w:highlight w:val="none"/>
          <w:lang w:val="en-US" w:eastAsia="zh-CN"/>
        </w:rPr>
        <w:t>支付合同总额20%违约金。</w:t>
      </w:r>
    </w:p>
    <w:p w14:paraId="03F6DB4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5.甲方支持乙方的工作，按合同保证乙方责任和权</w:t>
      </w:r>
      <w:r>
        <w:rPr>
          <w:rFonts w:hint="eastAsia" w:ascii="宋体" w:hAnsi="宋体" w:eastAsia="宋体" w:cs="宋体"/>
          <w:sz w:val="24"/>
          <w:highlight w:val="none"/>
          <w:lang w:val="en-US" w:eastAsia="zh-CN"/>
        </w:rPr>
        <w:t>利</w:t>
      </w:r>
      <w:r>
        <w:rPr>
          <w:rFonts w:hint="eastAsia" w:ascii="宋体" w:hAnsi="宋体" w:eastAsia="宋体" w:cs="宋体"/>
          <w:sz w:val="24"/>
          <w:highlight w:val="none"/>
        </w:rPr>
        <w:t>的统一。</w:t>
      </w:r>
    </w:p>
    <w:p w14:paraId="5C088126">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6.甲方有权阐述对具体问题的意见和建议。</w:t>
      </w:r>
    </w:p>
    <w:p w14:paraId="0D1ADC4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.甲方有权对服务质量进行评估，若服务评估结果不合格，甲方有权扣除不超过10%的合同金额或终止合同。</w:t>
      </w:r>
    </w:p>
    <w:p w14:paraId="44926CE5">
      <w:pPr>
        <w:pStyle w:val="10"/>
        <w:keepNext w:val="0"/>
        <w:keepLines w:val="0"/>
        <w:pageBreakBefore w:val="0"/>
        <w:tabs>
          <w:tab w:val="left" w:pos="1134"/>
          <w:tab w:val="left" w:pos="1418"/>
        </w:tabs>
        <w:kinsoku/>
        <w:wordWrap/>
        <w:topLinePunct w:val="0"/>
        <w:bidi w:val="0"/>
        <w:adjustRightInd w:val="0"/>
        <w:snapToGrid/>
        <w:spacing w:line="336"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zh-CN" w:eastAsia="zh-CN"/>
        </w:rPr>
        <w:t>六、乙方的主要责任和权利</w:t>
      </w:r>
    </w:p>
    <w:p w14:paraId="7BA2AA5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1.乙方必须具有履行本合同书所需的技能，必须按照相关的职业准则完成其全部职责。</w:t>
      </w:r>
    </w:p>
    <w:p w14:paraId="14158FAC">
      <w:pPr>
        <w:keepNext w:val="0"/>
        <w:keepLines w:val="0"/>
        <w:pageBreakBefore w:val="0"/>
        <w:kinsoku/>
        <w:wordWrap/>
        <w:topLinePunct w:val="0"/>
        <w:bidi w:val="0"/>
        <w:snapToGrid/>
        <w:spacing w:line="336"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2.乙方应按照合同规定的标准进行服务，确保各项功能完备。</w:t>
      </w:r>
    </w:p>
    <w:p w14:paraId="48250D09">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.对甲方提供的基础资料、数据、信息等严格保密。</w:t>
      </w:r>
    </w:p>
    <w:p w14:paraId="2219E89C">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4.乙方定期对服务工作进行情况分析,向甲方提出意见和建议,不断改进完善服务工作。</w:t>
      </w:r>
    </w:p>
    <w:p w14:paraId="6A44F1D3">
      <w:pPr>
        <w:keepNext w:val="0"/>
        <w:keepLines w:val="0"/>
        <w:pageBreakBefore w:val="0"/>
        <w:kinsoku/>
        <w:wordWrap/>
        <w:topLinePunct w:val="0"/>
        <w:bidi w:val="0"/>
        <w:snapToGrid/>
        <w:spacing w:line="336" w:lineRule="auto"/>
        <w:ind w:firstLine="480" w:firstLineChars="200"/>
        <w:textAlignment w:val="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w:t>
      </w:r>
      <w:r>
        <w:rPr>
          <w:rFonts w:hint="eastAsia" w:ascii="宋体" w:hAnsi="宋体" w:cs="宋体"/>
          <w:color w:val="auto"/>
          <w:sz w:val="24"/>
          <w:highlight w:val="none"/>
          <w:lang w:val="en-US" w:eastAsia="zh-CN"/>
        </w:rPr>
        <w:t>资料</w:t>
      </w:r>
      <w:r>
        <w:rPr>
          <w:rFonts w:hint="eastAsia"/>
          <w:sz w:val="24"/>
        </w:rPr>
        <w:t>必须符合相关国家标准</w:t>
      </w:r>
      <w:r>
        <w:rPr>
          <w:rFonts w:hint="eastAsia" w:ascii="宋体" w:hAnsi="宋体" w:cs="宋体"/>
          <w:color w:val="auto"/>
          <w:sz w:val="24"/>
          <w:highlight w:val="none"/>
          <w:lang w:eastAsia="zh-CN"/>
        </w:rPr>
        <w:t>；</w:t>
      </w:r>
    </w:p>
    <w:p w14:paraId="0F0B73C8">
      <w:pPr>
        <w:keepNext w:val="0"/>
        <w:keepLines w:val="0"/>
        <w:pageBreakBefore w:val="0"/>
        <w:kinsoku/>
        <w:wordWrap/>
        <w:topLinePunct w:val="0"/>
        <w:bidi w:val="0"/>
        <w:snapToGrid/>
        <w:spacing w:line="336" w:lineRule="auto"/>
        <w:ind w:firstLine="480" w:firstLineChars="200"/>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6.乙方应按国家规定技术规范、标准、规程及甲方提出的设计要求，进行服务设计，按合同规定的进度要求提交质量合格的设计资料，并对其负责；</w:t>
      </w:r>
    </w:p>
    <w:p w14:paraId="5E813E03">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color w:val="auto"/>
          <w:sz w:val="24"/>
          <w:highlight w:val="none"/>
        </w:rPr>
        <w:t>及时向甲方通告本项目服务范围内有关服务的重大事项</w:t>
      </w:r>
      <w:r>
        <w:rPr>
          <w:rFonts w:hint="eastAsia" w:ascii="宋体" w:hAnsi="宋体" w:eastAsia="宋体" w:cs="宋体"/>
          <w:color w:val="auto"/>
          <w:sz w:val="24"/>
          <w:highlight w:val="none"/>
          <w:lang w:eastAsia="zh-CN"/>
        </w:rPr>
        <w:t>；</w:t>
      </w:r>
    </w:p>
    <w:p w14:paraId="1FB0BB58">
      <w:pPr>
        <w:keepNext w:val="0"/>
        <w:keepLines w:val="0"/>
        <w:pageBreakBefore w:val="0"/>
        <w:kinsoku/>
        <w:wordWrap/>
        <w:topLinePunct w:val="0"/>
        <w:bidi w:val="0"/>
        <w:snapToGrid/>
        <w:spacing w:line="336" w:lineRule="auto"/>
        <w:ind w:firstLine="480" w:firstLineChars="200"/>
        <w:textAlignment w:val="auto"/>
        <w:rPr>
          <w:rFonts w:hint="eastAsia"/>
          <w:lang w:val="en-US" w:eastAsia="zh-CN"/>
        </w:rPr>
      </w:pP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.乙方人员服务期中发生任何安全问题均与甲方无关，乙方应确保项目人员均购买人身保险。</w:t>
      </w:r>
    </w:p>
    <w:p w14:paraId="55169389">
      <w:pPr>
        <w:pStyle w:val="10"/>
        <w:keepNext w:val="0"/>
        <w:keepLines w:val="0"/>
        <w:pageBreakBefore w:val="0"/>
        <w:tabs>
          <w:tab w:val="left" w:pos="1134"/>
          <w:tab w:val="left" w:pos="1418"/>
        </w:tabs>
        <w:kinsoku/>
        <w:wordWrap/>
        <w:topLinePunct w:val="0"/>
        <w:bidi w:val="0"/>
        <w:adjustRightInd w:val="0"/>
        <w:snapToGrid/>
        <w:spacing w:line="336"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6D87685E">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019F4B18">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2.若乙方在为甲方提供服务时侵犯了第三人的权利，致使甲方受到索赔或起诉，由此给甲方造成的一切损失由乙方承担，同时甲方有权解除合同，同时乙方及时消除不良影响。</w:t>
      </w:r>
    </w:p>
    <w:p w14:paraId="5612F54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3.若未经甲方许可，乙方擅自使用或向第三方披露或许可第三方使用在为甲方提供服务时所获得的成果，甲方有权要求乙方或第三方停止侵权，并承担以此带来的所有损失，同时消除不良影响。</w:t>
      </w:r>
    </w:p>
    <w:p w14:paraId="0CF1B809">
      <w:pPr>
        <w:pStyle w:val="10"/>
        <w:keepNext w:val="0"/>
        <w:keepLines w:val="0"/>
        <w:pageBreakBefore w:val="0"/>
        <w:tabs>
          <w:tab w:val="left" w:pos="1134"/>
          <w:tab w:val="left" w:pos="1418"/>
        </w:tabs>
        <w:kinsoku/>
        <w:wordWrap/>
        <w:topLinePunct w:val="0"/>
        <w:bidi w:val="0"/>
        <w:adjustRightInd w:val="0"/>
        <w:snapToGrid/>
        <w:spacing w:line="336"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31B59AAF">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733B1D29">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满足国家现行相关标准及文博行业相关规范要求，通过陕西省文物局组织的专家评审。全部设计文件满足国家现行相关标准及文博行业相关规范要求。设计方案（含设计图纸）、预算文件须通过陕西省文物局组织的专家评审，并根据评审意见进行修改完善。文件格式、深度、份数符合归档及报审要求。</w:t>
      </w:r>
    </w:p>
    <w:p w14:paraId="2D114411">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竞争性磋商文件、成交供应商的磋商文件、澄清文件和成交通知书的要求等,乙方应严格按照上述及采购人要求实施项目设计，甲方有权对设计效果进行评估，若评估结果不合格，乙方应负责无偿予以设计或采取补救措施，以达到质量要求。若返工后还无法通过验收，甲方有权单方解</w:t>
      </w:r>
      <w:bookmarkStart w:id="0" w:name="_GoBack"/>
      <w:bookmarkEnd w:id="0"/>
      <w:r>
        <w:rPr>
          <w:rFonts w:hint="eastAsia" w:ascii="宋体" w:hAnsi="宋体" w:eastAsia="宋体" w:cs="宋体"/>
          <w:color w:val="auto"/>
          <w:kern w:val="2"/>
          <w:sz w:val="24"/>
          <w:szCs w:val="24"/>
          <w:highlight w:val="none"/>
          <w:lang w:val="en-US" w:eastAsia="zh-CN" w:bidi="ar-SA"/>
        </w:rPr>
        <w:t>除合同，乙方应自收到通知之日起七日内退还全部已付项目款。</w:t>
      </w:r>
    </w:p>
    <w:p w14:paraId="780E9015">
      <w:pPr>
        <w:pStyle w:val="10"/>
        <w:keepNext w:val="0"/>
        <w:keepLines w:val="0"/>
        <w:pageBreakBefore w:val="0"/>
        <w:tabs>
          <w:tab w:val="left" w:pos="1134"/>
          <w:tab w:val="left" w:pos="1418"/>
        </w:tabs>
        <w:kinsoku/>
        <w:wordWrap/>
        <w:topLinePunct w:val="0"/>
        <w:bidi w:val="0"/>
        <w:adjustRightInd w:val="0"/>
        <w:snapToGrid/>
        <w:spacing w:line="336"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4C8D0079">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cs="宋体"/>
          <w:bCs/>
          <w:color w:val="auto"/>
          <w:sz w:val="24"/>
          <w:szCs w:val="24"/>
          <w:highlight w:val="none"/>
          <w:lang w:val="en-US" w:eastAsia="zh-CN"/>
        </w:rPr>
        <w:t>.</w:t>
      </w:r>
      <w:r>
        <w:rPr>
          <w:rFonts w:hint="eastAsia" w:ascii="宋体" w:hAnsi="宋体" w:eastAsia="宋体" w:cs="宋体"/>
          <w:bCs/>
          <w:color w:val="auto"/>
          <w:sz w:val="24"/>
          <w:szCs w:val="24"/>
          <w:highlight w:val="none"/>
        </w:rPr>
        <w:t>乙方服务人员应对在本合同履行过程中所接触的甲方任何保密信息，均负有保密责任，不得向任何第三方透露、使用，并且不得透露任何关于获取（接触）相关信息的手段与方式。</w:t>
      </w:r>
    </w:p>
    <w:p w14:paraId="08AFBC18">
      <w:pPr>
        <w:keepNext w:val="0"/>
        <w:keepLines w:val="0"/>
        <w:pageBreakBefore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2</w:t>
      </w:r>
      <w:r>
        <w:rPr>
          <w:rFonts w:hint="eastAsia" w:ascii="宋体" w:hAnsi="宋体" w:cs="宋体"/>
          <w:bCs/>
          <w:color w:val="auto"/>
          <w:sz w:val="24"/>
          <w:szCs w:val="24"/>
          <w:highlight w:val="none"/>
          <w:lang w:val="en-US" w:eastAsia="zh-CN"/>
        </w:rPr>
        <w:t>.</w:t>
      </w:r>
      <w:r>
        <w:rPr>
          <w:rFonts w:hint="eastAsia" w:ascii="宋体" w:hAnsi="宋体" w:eastAsia="宋体" w:cs="宋体"/>
          <w:bCs/>
          <w:color w:val="auto"/>
          <w:sz w:val="24"/>
          <w:szCs w:val="24"/>
          <w:highlight w:val="none"/>
        </w:rPr>
        <w:t>乙方应管理和教育好服务人员遵守甲方的保密规定。如果服务人员违</w:t>
      </w:r>
      <w:r>
        <w:rPr>
          <w:rFonts w:hint="eastAsia" w:ascii="宋体" w:hAnsi="宋体" w:eastAsia="宋体" w:cs="宋体"/>
          <w:color w:val="auto"/>
          <w:kern w:val="0"/>
          <w:sz w:val="24"/>
          <w:szCs w:val="24"/>
          <w:highlight w:val="none"/>
        </w:rPr>
        <w:t>反甲方的保密要求</w:t>
      </w:r>
      <w:r>
        <w:rPr>
          <w:rFonts w:hint="eastAsia" w:ascii="宋体" w:hAnsi="宋体" w:eastAsia="宋体" w:cs="宋体"/>
          <w:color w:val="auto"/>
          <w:kern w:val="0"/>
          <w:sz w:val="24"/>
          <w:szCs w:val="24"/>
          <w:highlight w:val="none"/>
          <w:lang w:eastAsia="zh-CN"/>
        </w:rPr>
        <w:t>，或</w:t>
      </w:r>
      <w:r>
        <w:rPr>
          <w:rFonts w:hint="eastAsia" w:ascii="宋体" w:hAnsi="宋体" w:eastAsia="宋体" w:cs="宋体"/>
          <w:color w:val="auto"/>
          <w:kern w:val="0"/>
          <w:sz w:val="24"/>
          <w:szCs w:val="24"/>
          <w:highlight w:val="none"/>
        </w:rPr>
        <w:t>乙方视频监控相关资料给甲方造成损失，甲方有权追究乙方的责任，应遵循以下规定：</w:t>
      </w:r>
    </w:p>
    <w:p w14:paraId="3A623546">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（1）应以审慎态度避免泄露、公开或传播甲方的信息；</w:t>
      </w:r>
    </w:p>
    <w:p w14:paraId="204B4266">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（2）未经甲方书面许可，不得对信息进行修改有关、补充、复制；</w:t>
      </w:r>
    </w:p>
    <w:p w14:paraId="10583564">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（3）未经甲方许可，不得将信息以任何方式(如E－mail)携带出服务场地；</w:t>
      </w:r>
    </w:p>
    <w:p w14:paraId="3A9B967B">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（4）未经甲方许可，不得将信息透露给任何其他人；</w:t>
      </w:r>
    </w:p>
    <w:p w14:paraId="230DA0D7">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（5）甲方以书面形式提出的其他保密措施。</w:t>
      </w:r>
    </w:p>
    <w:p w14:paraId="6BBF4DA5">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保密期限不受合同有效期的限制，在合同及</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有效期结束后，乙方仍应承担保密义务，直至该等信息成为公开信息。</w:t>
      </w:r>
    </w:p>
    <w:p w14:paraId="3F1928AD">
      <w:pPr>
        <w:keepNext w:val="0"/>
        <w:keepLines w:val="0"/>
        <w:pageBreakBefore w:val="0"/>
        <w:widowControl/>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乙方如出现泄密行为应承担相关的法律责任，包括</w:t>
      </w:r>
      <w:r>
        <w:rPr>
          <w:rFonts w:hint="eastAsia" w:ascii="宋体" w:hAnsi="宋体" w:eastAsia="宋体" w:cs="宋体"/>
          <w:color w:val="auto"/>
          <w:kern w:val="0"/>
          <w:sz w:val="24"/>
          <w:szCs w:val="24"/>
          <w:highlight w:val="none"/>
          <w:lang w:eastAsia="zh-CN"/>
        </w:rPr>
        <w:t>但</w:t>
      </w:r>
      <w:r>
        <w:rPr>
          <w:rFonts w:hint="eastAsia" w:ascii="宋体" w:hAnsi="宋体" w:eastAsia="宋体" w:cs="宋体"/>
          <w:color w:val="auto"/>
          <w:kern w:val="0"/>
          <w:sz w:val="24"/>
          <w:szCs w:val="24"/>
          <w:highlight w:val="none"/>
        </w:rPr>
        <w:t>不限于对由此给甲方造成的经济损失进行赔偿。</w:t>
      </w:r>
    </w:p>
    <w:p w14:paraId="22AC46F2">
      <w:pPr>
        <w:pStyle w:val="11"/>
        <w:keepNext w:val="0"/>
        <w:keepLines w:val="0"/>
        <w:pageBreakBefore w:val="0"/>
        <w:kinsoku/>
        <w:wordWrap/>
        <w:topLinePunct w:val="0"/>
        <w:bidi w:val="0"/>
        <w:snapToGrid/>
        <w:spacing w:line="336"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23E81256">
      <w:pPr>
        <w:pStyle w:val="11"/>
        <w:keepNext w:val="0"/>
        <w:keepLines w:val="0"/>
        <w:pageBreakBefore w:val="0"/>
        <w:kinsoku/>
        <w:wordWrap/>
        <w:topLinePunct w:val="0"/>
        <w:bidi w:val="0"/>
        <w:snapToGrid/>
        <w:spacing w:line="336"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64D9FB0B">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w:t>
      </w:r>
      <w:r>
        <w:rPr>
          <w:rFonts w:hint="eastAsia" w:ascii="宋体" w:hAnsi="宋体" w:eastAsia="宋体" w:cs="宋体"/>
          <w:color w:val="auto"/>
          <w:sz w:val="24"/>
          <w:highlight w:val="none"/>
          <w:lang w:eastAsia="zh-CN"/>
        </w:rPr>
        <w:t>力的</w:t>
      </w:r>
      <w:r>
        <w:rPr>
          <w:rFonts w:hint="eastAsia" w:ascii="宋体" w:hAnsi="宋体" w:eastAsia="宋体" w:cs="宋体"/>
          <w:color w:val="auto"/>
          <w:sz w:val="24"/>
          <w:highlight w:val="none"/>
        </w:rPr>
        <w:t>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4F1B2518">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十一</w:t>
      </w:r>
      <w:r>
        <w:rPr>
          <w:rFonts w:hint="eastAsia" w:ascii="宋体" w:hAnsi="宋体" w:eastAsia="宋体" w:cs="宋体"/>
          <w:b/>
          <w:bCs/>
          <w:color w:val="auto"/>
          <w:sz w:val="24"/>
          <w:highlight w:val="none"/>
        </w:rPr>
        <w:t>、税费</w:t>
      </w:r>
    </w:p>
    <w:p w14:paraId="0AEB31A0">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1.中国政府根据现行税法对乙方征收的与本合同有关的一切税费均由乙方负担。</w:t>
      </w:r>
    </w:p>
    <w:p w14:paraId="0B38214D">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2.在中国境外发生的与本合同执行有关的一切税费均由乙方负担。</w:t>
      </w:r>
    </w:p>
    <w:p w14:paraId="4F914E79">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、破产终止合同</w:t>
      </w:r>
    </w:p>
    <w:p w14:paraId="0A5A3127">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63B247F6">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rPr>
        <w:t>、转让</w:t>
      </w:r>
    </w:p>
    <w:p w14:paraId="0841892D">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22EE918B">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val="zh-CN"/>
        </w:rPr>
        <w:t>、违约责任</w:t>
      </w:r>
    </w:p>
    <w:p w14:paraId="075B858D">
      <w:pPr>
        <w:pStyle w:val="10"/>
        <w:keepNext w:val="0"/>
        <w:keepLines w:val="0"/>
        <w:pageBreakBefore w:val="0"/>
        <w:widowControl w:val="0"/>
        <w:tabs>
          <w:tab w:val="left" w:pos="1134"/>
          <w:tab w:val="left" w:pos="1418"/>
        </w:tabs>
        <w:kinsoku/>
        <w:wordWrap/>
        <w:topLinePunct w:val="0"/>
        <w:bidi w:val="0"/>
        <w:adjustRightInd w:val="0"/>
        <w:snapToGrid/>
        <w:spacing w:line="336"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1.按照《中华人民共和国民法典》中的相关条款执行。</w:t>
      </w:r>
    </w:p>
    <w:p w14:paraId="62B04653">
      <w:pPr>
        <w:pStyle w:val="10"/>
        <w:keepNext w:val="0"/>
        <w:keepLines w:val="0"/>
        <w:pageBreakBefore w:val="0"/>
        <w:widowControl w:val="0"/>
        <w:tabs>
          <w:tab w:val="left" w:pos="1134"/>
          <w:tab w:val="left" w:pos="1418"/>
        </w:tabs>
        <w:kinsoku/>
        <w:wordWrap/>
        <w:topLinePunct w:val="0"/>
        <w:bidi w:val="0"/>
        <w:adjustRightInd w:val="0"/>
        <w:snapToGrid/>
        <w:spacing w:line="336"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2.未按合同或磋商文件要求提供服务，质量不能满足甲方要求，</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CN"/>
        </w:rPr>
        <w:t>有权终止合同，</w:t>
      </w:r>
      <w:r>
        <w:rPr>
          <w:rFonts w:hint="eastAsia" w:ascii="宋体" w:hAnsi="宋体" w:eastAsia="宋体" w:cs="宋体"/>
          <w:color w:val="auto"/>
          <w:highlight w:val="none"/>
          <w:lang w:val="en-US" w:eastAsia="zh-CN"/>
        </w:rPr>
        <w:t>并按照合同总额20%向甲方承担违约责任</w:t>
      </w:r>
      <w:r>
        <w:rPr>
          <w:rFonts w:hint="eastAsia" w:ascii="宋体" w:hAnsi="宋体" w:eastAsia="宋体" w:cs="宋体"/>
          <w:color w:val="auto"/>
          <w:highlight w:val="none"/>
          <w:lang w:eastAsia="zh-CN"/>
        </w:rPr>
        <w:t>。</w:t>
      </w:r>
    </w:p>
    <w:p w14:paraId="5635BF01">
      <w:pPr>
        <w:pStyle w:val="10"/>
        <w:keepNext w:val="0"/>
        <w:keepLines w:val="0"/>
        <w:pageBreakBefore w:val="0"/>
        <w:widowControl w:val="0"/>
        <w:tabs>
          <w:tab w:val="left" w:pos="1134"/>
          <w:tab w:val="left" w:pos="1418"/>
        </w:tabs>
        <w:kinsoku/>
        <w:wordWrap/>
        <w:topLinePunct w:val="0"/>
        <w:bidi w:val="0"/>
        <w:adjustRightInd w:val="0"/>
        <w:snapToGrid/>
        <w:spacing w:line="336"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3.乙方由于自身过错，延误按本合同规定的时间</w:t>
      </w:r>
      <w:r>
        <w:rPr>
          <w:rFonts w:hint="eastAsia" w:ascii="宋体" w:hAnsi="宋体" w:eastAsia="宋体" w:cs="宋体"/>
          <w:color w:val="auto"/>
          <w:highlight w:val="none"/>
          <w:lang w:val="en-US" w:eastAsia="zh-CN"/>
        </w:rPr>
        <w:t>完成服务</w:t>
      </w:r>
      <w:r>
        <w:rPr>
          <w:rFonts w:hint="eastAsia" w:ascii="宋体" w:hAnsi="宋体" w:eastAsia="宋体" w:cs="宋体"/>
          <w:color w:val="auto"/>
          <w:highlight w:val="none"/>
          <w:lang w:eastAsia="zh-CN"/>
        </w:rPr>
        <w:t>，每延误一天，应减收本合同总额的2‰作为延误违约金。</w:t>
      </w:r>
    </w:p>
    <w:p w14:paraId="419BF206">
      <w:pPr>
        <w:pStyle w:val="10"/>
        <w:keepNext w:val="0"/>
        <w:keepLines w:val="0"/>
        <w:pageBreakBefore w:val="0"/>
        <w:widowControl w:val="0"/>
        <w:tabs>
          <w:tab w:val="left" w:pos="1134"/>
          <w:tab w:val="left" w:pos="1418"/>
        </w:tabs>
        <w:kinsoku/>
        <w:wordWrap/>
        <w:topLinePunct w:val="0"/>
        <w:bidi w:val="0"/>
        <w:adjustRightInd w:val="0"/>
        <w:snapToGrid/>
        <w:spacing w:line="336" w:lineRule="auto"/>
        <w:ind w:left="0"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4.本合同所约定的因乙方原因导致甲方单方面解除合同的，乙方应退还甲方全部已付款，并向甲方支付合同总额20%违约金，违约金不足甲方损失的，乙方应全额补足。</w:t>
      </w:r>
    </w:p>
    <w:p w14:paraId="23D66546">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五</w:t>
      </w:r>
      <w:r>
        <w:rPr>
          <w:rFonts w:hint="eastAsia" w:ascii="宋体" w:hAnsi="宋体" w:eastAsia="宋体" w:cs="宋体"/>
          <w:b/>
          <w:bCs/>
          <w:color w:val="auto"/>
          <w:sz w:val="24"/>
          <w:highlight w:val="none"/>
        </w:rPr>
        <w:t>、合同争议和解决办法</w:t>
      </w:r>
    </w:p>
    <w:p w14:paraId="46DB7EAF">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甲、乙双方应本着友好合作、积极协商的态度，严格履行本协议，因不可预见的因素或本协议未尽事宜发生争议，由双方协商解决,协商不成时</w:t>
      </w:r>
      <w:r>
        <w:rPr>
          <w:rFonts w:hint="eastAsia" w:asciiTheme="minorEastAsia" w:hAnsiTheme="minorEastAsia" w:eastAsiaTheme="minorEastAsia" w:cstheme="minorEastAsia"/>
          <w:color w:val="auto"/>
          <w:kern w:val="0"/>
          <w:sz w:val="24"/>
          <w:szCs w:val="24"/>
          <w:highlight w:val="none"/>
        </w:rPr>
        <w:t>向</w:t>
      </w:r>
      <w:r>
        <w:rPr>
          <w:rFonts w:hint="eastAsia" w:asciiTheme="minorEastAsia" w:hAnsiTheme="minorEastAsia" w:eastAsiaTheme="minorEastAsia" w:cstheme="minorEastAsia"/>
          <w:color w:val="auto"/>
          <w:kern w:val="0"/>
          <w:sz w:val="24"/>
          <w:szCs w:val="24"/>
          <w:highlight w:val="none"/>
          <w:lang w:eastAsia="zh-CN"/>
        </w:rPr>
        <w:t>甲方所在地</w:t>
      </w:r>
      <w:r>
        <w:rPr>
          <w:rFonts w:hint="eastAsia" w:asciiTheme="minorEastAsia" w:hAnsiTheme="minorEastAsia" w:eastAsiaTheme="minorEastAsia" w:cstheme="minorEastAsia"/>
          <w:color w:val="auto"/>
          <w:kern w:val="0"/>
          <w:sz w:val="24"/>
          <w:szCs w:val="24"/>
          <w:highlight w:val="none"/>
        </w:rPr>
        <w:t>人民法院提起诉讼。</w:t>
      </w:r>
    </w:p>
    <w:p w14:paraId="458A0883">
      <w:pPr>
        <w:keepNext w:val="0"/>
        <w:keepLines w:val="0"/>
        <w:pageBreakBefore w:val="0"/>
        <w:kinsoku/>
        <w:wordWrap/>
        <w:topLinePunct w:val="0"/>
        <w:bidi w:val="0"/>
        <w:snapToGrid/>
        <w:spacing w:line="336"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六</w:t>
      </w:r>
      <w:r>
        <w:rPr>
          <w:rFonts w:hint="eastAsia" w:ascii="宋体" w:hAnsi="宋体" w:eastAsia="宋体" w:cs="宋体"/>
          <w:b/>
          <w:bCs/>
          <w:color w:val="auto"/>
          <w:sz w:val="24"/>
          <w:highlight w:val="none"/>
        </w:rPr>
        <w:t>、其他事项</w:t>
      </w:r>
    </w:p>
    <w:p w14:paraId="179B1A4E">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30DDF61C">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rPr>
      </w:pPr>
      <w:r>
        <w:rPr>
          <w:rFonts w:hint="eastAsia" w:ascii="宋体" w:hAnsi="宋体" w:eastAsia="宋体" w:cs="宋体"/>
          <w:b w:val="0"/>
          <w:bCs w:val="0"/>
          <w:color w:val="auto"/>
          <w:kern w:val="0"/>
          <w:sz w:val="24"/>
          <w:szCs w:val="24"/>
          <w:lang w:val="en-US" w:eastAsia="zh-CN"/>
        </w:rPr>
        <w:t>2.</w:t>
      </w:r>
      <w:r>
        <w:rPr>
          <w:rFonts w:hint="eastAsia" w:ascii="宋体" w:hAnsi="宋体" w:eastAsia="宋体" w:cs="宋体"/>
          <w:color w:val="auto"/>
          <w:sz w:val="24"/>
          <w:highlight w:val="none"/>
        </w:rPr>
        <w:t>未尽事宜，双方协商解决。在本合同履行过程中将双方达成的书面补充协议是本合同不可分割的组成部分，与本合同具有同等效力。</w:t>
      </w:r>
    </w:p>
    <w:p w14:paraId="5AA74F0C">
      <w:pPr>
        <w:keepNext w:val="0"/>
        <w:keepLines w:val="0"/>
        <w:pageBreakBefore w:val="0"/>
        <w:kinsoku/>
        <w:wordWrap/>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.本合同正本一式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份，均以中文书写，在双方代表签字盖章后生效，甲方执正本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份；乙方执正本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份；政府采购管理部门备案副本一份，均具有同等法律效力。</w:t>
      </w:r>
    </w:p>
    <w:p w14:paraId="00D240DE">
      <w:pPr>
        <w:keepNext w:val="0"/>
        <w:keepLines w:val="0"/>
        <w:pageBreakBefore w:val="0"/>
        <w:kinsoku/>
        <w:wordWrap/>
        <w:topLinePunct w:val="0"/>
        <w:bidi w:val="0"/>
        <w:snapToGrid/>
        <w:spacing w:line="336" w:lineRule="auto"/>
        <w:ind w:firstLine="480" w:firstLineChars="200"/>
        <w:textAlignment w:val="auto"/>
        <w:rPr>
          <w:rFonts w:hint="eastAsia"/>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.本合同自双方签字盖章之日起生效，合同执行完毕自动失效（合同的服务承诺长期有效）。</w:t>
      </w:r>
    </w:p>
    <w:tbl>
      <w:tblPr>
        <w:tblStyle w:val="8"/>
        <w:tblW w:w="0" w:type="auto"/>
        <w:tblInd w:w="0" w:type="dxa"/>
        <w:tblLayout w:type="fixed"/>
        <w:tblCellMar>
          <w:top w:w="0" w:type="dxa"/>
          <w:left w:w="108" w:type="dxa"/>
          <w:bottom w:w="0" w:type="dxa"/>
          <w:right w:w="108" w:type="dxa"/>
        </w:tblCellMar>
      </w:tblPr>
      <w:tblGrid>
        <w:gridCol w:w="4201"/>
        <w:gridCol w:w="4202"/>
      </w:tblGrid>
      <w:tr w14:paraId="7B0D8D6C">
        <w:tblPrEx>
          <w:tblCellMar>
            <w:top w:w="0" w:type="dxa"/>
            <w:left w:w="108" w:type="dxa"/>
            <w:bottom w:w="0" w:type="dxa"/>
            <w:right w:w="108" w:type="dxa"/>
          </w:tblCellMar>
        </w:tblPrEx>
        <w:trPr>
          <w:trHeight w:val="484" w:hRule="exact"/>
        </w:trPr>
        <w:tc>
          <w:tcPr>
            <w:tcW w:w="4201" w:type="dxa"/>
            <w:noWrap w:val="0"/>
            <w:vAlign w:val="center"/>
          </w:tcPr>
          <w:p w14:paraId="7774F73B">
            <w:pPr>
              <w:keepNext w:val="0"/>
              <w:keepLines w:val="0"/>
              <w:pageBreakBefore w:val="0"/>
              <w:widowControl w:val="0"/>
              <w:kinsoku/>
              <w:wordWrap/>
              <w:overflowPunct/>
              <w:topLinePunct w:val="0"/>
              <w:autoSpaceDE/>
              <w:autoSpaceDN/>
              <w:bidi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甲方</w:t>
            </w:r>
          </w:p>
        </w:tc>
        <w:tc>
          <w:tcPr>
            <w:tcW w:w="4202" w:type="dxa"/>
            <w:noWrap w:val="0"/>
            <w:vAlign w:val="center"/>
          </w:tcPr>
          <w:p w14:paraId="7F2CF649">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w:t>
            </w:r>
          </w:p>
        </w:tc>
      </w:tr>
      <w:tr w14:paraId="29564A6E">
        <w:tblPrEx>
          <w:tblCellMar>
            <w:top w:w="0" w:type="dxa"/>
            <w:left w:w="108" w:type="dxa"/>
            <w:bottom w:w="0" w:type="dxa"/>
            <w:right w:w="108" w:type="dxa"/>
          </w:tblCellMar>
        </w:tblPrEx>
        <w:trPr>
          <w:trHeight w:val="467" w:hRule="exact"/>
        </w:trPr>
        <w:tc>
          <w:tcPr>
            <w:tcW w:w="4201" w:type="dxa"/>
            <w:noWrap w:val="0"/>
            <w:vAlign w:val="center"/>
          </w:tcPr>
          <w:p w14:paraId="0E785432">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202" w:type="dxa"/>
            <w:noWrap w:val="0"/>
            <w:vAlign w:val="center"/>
          </w:tcPr>
          <w:p w14:paraId="70A68FA7">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04199833">
        <w:tblPrEx>
          <w:tblCellMar>
            <w:top w:w="0" w:type="dxa"/>
            <w:left w:w="108" w:type="dxa"/>
            <w:bottom w:w="0" w:type="dxa"/>
            <w:right w:w="108" w:type="dxa"/>
          </w:tblCellMar>
        </w:tblPrEx>
        <w:trPr>
          <w:trHeight w:val="501" w:hRule="exact"/>
        </w:trPr>
        <w:tc>
          <w:tcPr>
            <w:tcW w:w="4201" w:type="dxa"/>
            <w:noWrap w:val="0"/>
            <w:vAlign w:val="center"/>
          </w:tcPr>
          <w:p w14:paraId="504C5E35">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202" w:type="dxa"/>
            <w:noWrap w:val="0"/>
            <w:vAlign w:val="center"/>
          </w:tcPr>
          <w:p w14:paraId="6371B9CD">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2E37F64">
        <w:tblPrEx>
          <w:tblCellMar>
            <w:top w:w="0" w:type="dxa"/>
            <w:left w:w="108" w:type="dxa"/>
            <w:bottom w:w="0" w:type="dxa"/>
            <w:right w:w="108" w:type="dxa"/>
          </w:tblCellMar>
        </w:tblPrEx>
        <w:trPr>
          <w:trHeight w:val="450" w:hRule="exact"/>
        </w:trPr>
        <w:tc>
          <w:tcPr>
            <w:tcW w:w="4201" w:type="dxa"/>
            <w:noWrap w:val="0"/>
            <w:vAlign w:val="center"/>
          </w:tcPr>
          <w:p w14:paraId="767DFFDE">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202" w:type="dxa"/>
            <w:noWrap w:val="0"/>
            <w:vAlign w:val="center"/>
          </w:tcPr>
          <w:p w14:paraId="306A5B55">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06E1DD1E">
        <w:tblPrEx>
          <w:tblCellMar>
            <w:top w:w="0" w:type="dxa"/>
            <w:left w:w="108" w:type="dxa"/>
            <w:bottom w:w="0" w:type="dxa"/>
            <w:right w:w="108" w:type="dxa"/>
          </w:tblCellMar>
        </w:tblPrEx>
        <w:trPr>
          <w:trHeight w:val="533" w:hRule="exact"/>
        </w:trPr>
        <w:tc>
          <w:tcPr>
            <w:tcW w:w="4201" w:type="dxa"/>
            <w:noWrap w:val="0"/>
            <w:vAlign w:val="center"/>
          </w:tcPr>
          <w:p w14:paraId="1E403C66">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4202" w:type="dxa"/>
            <w:noWrap w:val="0"/>
            <w:vAlign w:val="center"/>
          </w:tcPr>
          <w:p w14:paraId="25361D73">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r>
      <w:tr w14:paraId="762E1E34">
        <w:tblPrEx>
          <w:tblCellMar>
            <w:top w:w="0" w:type="dxa"/>
            <w:left w:w="108" w:type="dxa"/>
            <w:bottom w:w="0" w:type="dxa"/>
            <w:right w:w="108" w:type="dxa"/>
          </w:tblCellMar>
        </w:tblPrEx>
        <w:trPr>
          <w:trHeight w:val="533" w:hRule="exact"/>
        </w:trPr>
        <w:tc>
          <w:tcPr>
            <w:tcW w:w="4201" w:type="dxa"/>
            <w:noWrap w:val="0"/>
            <w:vAlign w:val="center"/>
          </w:tcPr>
          <w:p w14:paraId="4555A132">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4202" w:type="dxa"/>
            <w:noWrap w:val="0"/>
            <w:vAlign w:val="center"/>
          </w:tcPr>
          <w:p w14:paraId="7AC31598">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r>
      <w:tr w14:paraId="21E3B782">
        <w:tblPrEx>
          <w:tblCellMar>
            <w:top w:w="0" w:type="dxa"/>
            <w:left w:w="108" w:type="dxa"/>
            <w:bottom w:w="0" w:type="dxa"/>
            <w:right w:w="108" w:type="dxa"/>
          </w:tblCellMar>
        </w:tblPrEx>
        <w:trPr>
          <w:trHeight w:val="500" w:hRule="exact"/>
        </w:trPr>
        <w:tc>
          <w:tcPr>
            <w:tcW w:w="4201" w:type="dxa"/>
            <w:noWrap w:val="0"/>
            <w:vAlign w:val="center"/>
          </w:tcPr>
          <w:p w14:paraId="51F81CF8">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202" w:type="dxa"/>
            <w:noWrap w:val="0"/>
            <w:vAlign w:val="center"/>
          </w:tcPr>
          <w:p w14:paraId="6E93929A">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142F3429">
        <w:tblPrEx>
          <w:tblCellMar>
            <w:top w:w="0" w:type="dxa"/>
            <w:left w:w="108" w:type="dxa"/>
            <w:bottom w:w="0" w:type="dxa"/>
            <w:right w:w="108" w:type="dxa"/>
          </w:tblCellMar>
        </w:tblPrEx>
        <w:trPr>
          <w:trHeight w:val="467" w:hRule="exact"/>
        </w:trPr>
        <w:tc>
          <w:tcPr>
            <w:tcW w:w="4201" w:type="dxa"/>
            <w:noWrap w:val="0"/>
            <w:vAlign w:val="center"/>
          </w:tcPr>
          <w:p w14:paraId="3F3D6709">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202" w:type="dxa"/>
            <w:noWrap w:val="0"/>
            <w:vAlign w:val="center"/>
          </w:tcPr>
          <w:p w14:paraId="6449C403">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2C730D6E">
        <w:tblPrEx>
          <w:tblCellMar>
            <w:top w:w="0" w:type="dxa"/>
            <w:left w:w="108" w:type="dxa"/>
            <w:bottom w:w="0" w:type="dxa"/>
            <w:right w:w="108" w:type="dxa"/>
          </w:tblCellMar>
        </w:tblPrEx>
        <w:trPr>
          <w:trHeight w:val="567" w:hRule="exact"/>
        </w:trPr>
        <w:tc>
          <w:tcPr>
            <w:tcW w:w="4201" w:type="dxa"/>
            <w:noWrap w:val="0"/>
            <w:vAlign w:val="center"/>
          </w:tcPr>
          <w:p w14:paraId="6A2E726E">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4202" w:type="dxa"/>
            <w:noWrap w:val="0"/>
            <w:vAlign w:val="center"/>
          </w:tcPr>
          <w:p w14:paraId="6DC967FA">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033C42B8">
        <w:tblPrEx>
          <w:tblCellMar>
            <w:top w:w="0" w:type="dxa"/>
            <w:left w:w="108" w:type="dxa"/>
            <w:bottom w:w="0" w:type="dxa"/>
            <w:right w:w="108" w:type="dxa"/>
          </w:tblCellMar>
        </w:tblPrEx>
        <w:trPr>
          <w:trHeight w:val="567" w:hRule="exact"/>
        </w:trPr>
        <w:tc>
          <w:tcPr>
            <w:tcW w:w="4201" w:type="dxa"/>
            <w:noWrap w:val="0"/>
            <w:vAlign w:val="center"/>
          </w:tcPr>
          <w:p w14:paraId="51FD96E9">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p>
        </w:tc>
        <w:tc>
          <w:tcPr>
            <w:tcW w:w="4202" w:type="dxa"/>
            <w:noWrap w:val="0"/>
            <w:vAlign w:val="center"/>
          </w:tcPr>
          <w:p w14:paraId="48BE0B72">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p>
        </w:tc>
      </w:tr>
    </w:tbl>
    <w:p w14:paraId="010CFB4B">
      <w:pPr>
        <w:keepNext w:val="0"/>
        <w:keepLines w:val="0"/>
        <w:pageBreakBefore w:val="0"/>
        <w:wordWrap/>
        <w:topLinePunct w:val="0"/>
        <w:bidi w:val="0"/>
        <w:spacing w:line="336" w:lineRule="auto"/>
      </w:pP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17DDF"/>
    <w:rsid w:val="0E31424B"/>
    <w:rsid w:val="35A17DDF"/>
    <w:rsid w:val="37AD17E4"/>
    <w:rsid w:val="4D7555CF"/>
    <w:rsid w:val="734459D5"/>
    <w:rsid w:val="77B57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5"/>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widowControl w:val="0"/>
      <w:tabs>
        <w:tab w:val="center" w:pos="4140"/>
        <w:tab w:val="right" w:pos="8300"/>
      </w:tabs>
      <w:snapToGrid w:val="0"/>
      <w:spacing w:before="0" w:after="200" w:line="276" w:lineRule="auto"/>
      <w:ind w:left="0" w:right="0"/>
      <w:jc w:val="left"/>
    </w:pPr>
    <w:rPr>
      <w:rFonts w:ascii="Calibri" w:hAnsi="Calibri" w:eastAsia="宋体" w:cs="Times New Roman"/>
      <w:kern w:val="2"/>
      <w:sz w:val="18"/>
      <w:szCs w:val="18"/>
      <w:lang w:val="en-US" w:eastAsia="zh-CN" w:bidi="ar-SA"/>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5">
    <w:name w:val="Normal Indent"/>
    <w:basedOn w:val="1"/>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6">
    <w:name w:val="Plain Text"/>
    <w:basedOn w:val="1"/>
    <w:next w:val="1"/>
    <w:qFormat/>
    <w:uiPriority w:val="0"/>
    <w:rPr>
      <w:rFonts w:ascii="宋体" w:hAnsi="Courier New" w:cs="Courier New"/>
      <w:szCs w:val="21"/>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1">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3647</Words>
  <Characters>3719</Characters>
  <Lines>0</Lines>
  <Paragraphs>0</Paragraphs>
  <TotalTime>0</TotalTime>
  <ScaleCrop>false</ScaleCrop>
  <LinksUpToDate>false</LinksUpToDate>
  <CharactersWithSpaces>3846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2025-09-26T08:11:00Z</dcterms:created>
  <dc:creator>YIN</dc:creator>
  <cp:lastModifiedBy>bling  bling</cp:lastModifiedBy>
  <dcterms:modified xsi:type="dcterms:W3CDTF">2026-06-11T06:09:54Z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04187713BF4042F48D5B7EE1532E4865_13</vt:lpwstr>
  </property>
  <property fmtid="{D5CDD505-2E9C-101B-9397-08002B2CF9AE}" pid="4" name="KSOTemplateDocerSaveRecord">
    <vt:lpwstr>eyJoZGlkIjoiOTM4MWZlYzIyYzlkNWU5YzViOGVkNzkwNTQwYWY4NTMiLCJ1c2VySWQiOiI1NTAzMTkyMTcifQ==</vt:lpwstr>
  </property>
</Properties>
</file>