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版本号：ZDJ126--023ZSA20260807002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自动煎药机、中药汤剂包装贴标一体机采购项目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ZDJ126--023ZSA</w:t>
      </w:r>
      <w:r>
        <w:br/>
      </w:r>
      <w:r>
        <w:br/>
      </w:r>
      <w:r>
        <w:br/>
      </w:r>
    </w:p>
    <w:p>
      <w:pPr>
        <w:pStyle w:val="null3"/>
        <w:jc w:val="center"/>
        <w:outlineLvl w:val="2"/>
      </w:pPr>
      <w:r>
        <w:rPr>
          <w:rFonts w:ascii="仿宋_GB2312" w:hAnsi="仿宋_GB2312" w:cs="仿宋_GB2312" w:eastAsia="仿宋_GB2312"/>
          <w:sz w:val="28"/>
          <w:b/>
        </w:rPr>
        <w:t>陕西中医药大学第二附属医院</w:t>
      </w:r>
    </w:p>
    <w:p>
      <w:pPr>
        <w:pStyle w:val="null3"/>
        <w:jc w:val="center"/>
        <w:outlineLvl w:val="2"/>
      </w:pPr>
      <w:r>
        <w:rPr>
          <w:rFonts w:ascii="仿宋_GB2312" w:hAnsi="仿宋_GB2312" w:cs="仿宋_GB2312" w:eastAsia="仿宋_GB2312"/>
          <w:sz w:val="28"/>
          <w:b/>
        </w:rPr>
        <w:t>正大方略工程咨询有限公司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正大方略工程咨询有限公司</w:t>
      </w:r>
      <w:r>
        <w:rPr>
          <w:rFonts w:ascii="仿宋_GB2312" w:hAnsi="仿宋_GB2312" w:cs="仿宋_GB2312" w:eastAsia="仿宋_GB2312"/>
        </w:rPr>
        <w:t>（以下简称“代理机构”）受</w:t>
      </w:r>
      <w:r>
        <w:rPr>
          <w:rFonts w:ascii="仿宋_GB2312" w:hAnsi="仿宋_GB2312" w:cs="仿宋_GB2312" w:eastAsia="仿宋_GB2312"/>
        </w:rPr>
        <w:t>陕西中医药大学第二附属医院</w:t>
      </w:r>
      <w:r>
        <w:rPr>
          <w:rFonts w:ascii="仿宋_GB2312" w:hAnsi="仿宋_GB2312" w:cs="仿宋_GB2312" w:eastAsia="仿宋_GB2312"/>
        </w:rPr>
        <w:t>委托，拟对</w:t>
      </w:r>
      <w:r>
        <w:rPr>
          <w:rFonts w:ascii="仿宋_GB2312" w:hAnsi="仿宋_GB2312" w:cs="仿宋_GB2312" w:eastAsia="仿宋_GB2312"/>
        </w:rPr>
        <w:t>自动煎药机、中药汤剂包装贴标一体机采购项目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ZDJ126--023ZSA</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自动煎药机、中药汤剂包装贴标一体机采购项目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陕西中医药大学第二附属医院采购自动煎药机、中药汤剂包装贴标一体机，具体内容详见招标文件。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陕西中医药大学第二附属医院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咸阳市渭阳西路5号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陕西中医药大学第二附属医院经办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029-33350559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正大方略工程咨询有限公司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陕西省西安市雁塔区南二环东段22号凯森盛世1号A座27层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卓腾、王亚妮、杨东华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029-82471109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采购包1：430,000.00元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代理服务费收费标准：5000元，由中标单位在领取成交通知书前一次性支付代理服务费。 开户名称：正大方略工程咨询有限公司 开户行：西安银行股份有限公司东二环南段支行 账号：209011580000076430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陕西中医药大学第二附属医院</w:t>
      </w:r>
      <w:r>
        <w:rPr>
          <w:rFonts w:ascii="仿宋_GB2312" w:hAnsi="仿宋_GB2312" w:cs="仿宋_GB2312" w:eastAsia="仿宋_GB2312"/>
        </w:rPr>
        <w:t>和</w:t>
      </w:r>
      <w:r>
        <w:rPr>
          <w:rFonts w:ascii="仿宋_GB2312" w:hAnsi="仿宋_GB2312" w:cs="仿宋_GB2312" w:eastAsia="仿宋_GB2312"/>
        </w:rPr>
        <w:t>正大方略工程咨询有限公司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陕西中医药大学第二附属医院</w:t>
      </w:r>
      <w:r>
        <w:rPr>
          <w:rFonts w:ascii="仿宋_GB2312" w:hAnsi="仿宋_GB2312" w:cs="仿宋_GB2312" w:eastAsia="仿宋_GB2312"/>
        </w:rPr>
        <w:t>负责解释。除上述招标文件内容，其他内容由</w:t>
      </w:r>
      <w:r>
        <w:rPr>
          <w:rFonts w:ascii="仿宋_GB2312" w:hAnsi="仿宋_GB2312" w:cs="仿宋_GB2312" w:eastAsia="仿宋_GB2312"/>
        </w:rPr>
        <w:t>正大方略工程咨询有限公司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陕西中医药大学第二附属医院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正大方略工程咨询有限公司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投标人应保证所提供的服务或其任何一部分均不会侵犯任何第三方的专利权、商标权或著作权。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1、验收要求：乙方按照甲方要求将全部货物送到甲方指定地点进行安装、调试，并对甲方工作人员进行培训，完成后向甲方提出验收申请，甲方须在乙方提出书面验收申请之日起 2 个工作日内，组织验收工作。甲乙双方验收人员共同对货物的外观、数量、商标、型号、规格及性能等进行验收，验收合格后甲乙双方共同签署验收单。验收不合格的，乙方应于7日内进行重新配送，交货日期不予延长，超过交货期限的，乙方按照本合同第十三条第1款向甲方支付延期交货违约金。 2、验收标准：应按照国家相关法律法规要求及相关质量体系认证标准为准。 3、验收依据：单证齐全，应有产品合格证、质量证明、使用说明、保修保质证明、发票和其他应当具有的单证，并符合国家法律、法规对该产品规定的国家标准的要求。 4、货物验收单仅证明乙方所提供的货物截止出具验收单之日时可以按合同要求予以接受，但不能视为乙方对货物存在的潜在缺陷责任的解除。此验收不作为对货物内质量认定的依据。</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联系人：卓腾、王亚妮、杨东华</w:t>
      </w:r>
    </w:p>
    <w:p>
      <w:pPr>
        <w:pStyle w:val="null3"/>
      </w:pPr>
      <w:r>
        <w:rPr>
          <w:rFonts w:ascii="仿宋_GB2312" w:hAnsi="仿宋_GB2312" w:cs="仿宋_GB2312" w:eastAsia="仿宋_GB2312"/>
        </w:rPr>
        <w:t>联系电话：029-82471109</w:t>
      </w:r>
    </w:p>
    <w:p>
      <w:pPr>
        <w:pStyle w:val="null3"/>
      </w:pPr>
      <w:r>
        <w:rPr>
          <w:rFonts w:ascii="仿宋_GB2312" w:hAnsi="仿宋_GB2312" w:cs="仿宋_GB2312" w:eastAsia="仿宋_GB2312"/>
        </w:rPr>
        <w:t>地址：陕西省西安市雁塔区南二环东段22号凯森盛世1号A座27层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陕西中医药大学第二附属医院自动煎药机、中药汤剂包装贴标一体机采购，具体内容详见招标文件。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430,000.00</w:t>
      </w:r>
    </w:p>
    <w:p>
      <w:pPr>
        <w:pStyle w:val="null3"/>
      </w:pPr>
      <w:r>
        <w:rPr>
          <w:rFonts w:ascii="仿宋_GB2312" w:hAnsi="仿宋_GB2312" w:cs="仿宋_GB2312" w:eastAsia="仿宋_GB2312"/>
        </w:rPr>
        <w:t>采购包最高限价（元）: 430,000.00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20L自动煎药机</w:t>
            </w:r>
          </w:p>
        </w:tc>
        <w:tc>
          <w:tcPr>
            <w:tcW w:type="dxa" w:w="755"/>
          </w:tcPr>
          <w:p>
            <w:pPr>
              <w:pStyle w:val="null3"/>
              <w:jc w:val="right"/>
            </w:pPr>
            <w:r>
              <w:rPr>
                <w:rFonts w:ascii="仿宋_GB2312" w:hAnsi="仿宋_GB2312" w:cs="仿宋_GB2312" w:eastAsia="仿宋_GB2312"/>
              </w:rPr>
              <w:t>5.00</w:t>
            </w:r>
          </w:p>
        </w:tc>
        <w:tc>
          <w:tcPr>
            <w:tcW w:type="dxa" w:w="755"/>
          </w:tcPr>
          <w:p>
            <w:pPr>
              <w:pStyle w:val="null3"/>
              <w:jc w:val="right"/>
            </w:pPr>
            <w:r>
              <w:rPr>
                <w:rFonts w:ascii="仿宋_GB2312" w:hAnsi="仿宋_GB2312" w:cs="仿宋_GB2312" w:eastAsia="仿宋_GB2312"/>
              </w:rPr>
              <w:t>130,000.00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30L自动煎药机</w:t>
            </w:r>
          </w:p>
        </w:tc>
        <w:tc>
          <w:tcPr>
            <w:tcW w:type="dxa" w:w="755"/>
          </w:tcPr>
          <w:p>
            <w:pPr>
              <w:pStyle w:val="null3"/>
              <w:jc w:val="right"/>
            </w:pPr>
            <w:r>
              <w:rPr>
                <w:rFonts w:ascii="仿宋_GB2312" w:hAnsi="仿宋_GB2312" w:cs="仿宋_GB2312" w:eastAsia="仿宋_GB2312"/>
              </w:rPr>
              <w:t>5.00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中药汤剂包装贴标一体机</w:t>
            </w:r>
          </w:p>
        </w:tc>
        <w:tc>
          <w:tcPr>
            <w:tcW w:type="dxa" w:w="755"/>
          </w:tcPr>
          <w:p>
            <w:pPr>
              <w:pStyle w:val="null3"/>
              <w:jc w:val="right"/>
            </w:pPr>
            <w:r>
              <w:rPr>
                <w:rFonts w:ascii="仿宋_GB2312" w:hAnsi="仿宋_GB2312" w:cs="仿宋_GB2312" w:eastAsia="仿宋_GB2312"/>
              </w:rPr>
              <w:t>5.00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标的名称：20L自动煎药机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2"/>
              <w:gridCol w:w="251"/>
              <w:gridCol w:w="1805"/>
              <w:gridCol w:w="335"/>
            </w:tblGrid>
            <w:tr>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参数性质</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内容</w:t>
                  </w:r>
                </w:p>
              </w:tc>
              <w:tc>
                <w:tcPr>
                  <w:tcW w:type="dxa" w:w="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是否须</w:t>
                  </w:r>
                </w:p>
                <w:p>
                  <w:pPr>
                    <w:pStyle w:val="null3"/>
                    <w:jc w:val="center"/>
                  </w:pPr>
                  <w:r>
                    <w:rPr>
                      <w:rFonts w:ascii="仿宋_GB2312" w:hAnsi="仿宋_GB2312" w:cs="仿宋_GB2312" w:eastAsia="仿宋_GB2312"/>
                      <w:sz w:val="21"/>
                    </w:rPr>
                    <w:t>提供证</w:t>
                  </w:r>
                </w:p>
                <w:p>
                  <w:pPr>
                    <w:pStyle w:val="null3"/>
                    <w:jc w:val="center"/>
                  </w:pPr>
                  <w:r>
                    <w:rPr>
                      <w:rFonts w:ascii="仿宋_GB2312" w:hAnsi="仿宋_GB2312" w:cs="仿宋_GB2312" w:eastAsia="仿宋_GB2312"/>
                      <w:sz w:val="21"/>
                    </w:rPr>
                    <w:t>明资料</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容量：</w:t>
                  </w:r>
                  <w:r>
                    <w:rPr>
                      <w:rFonts w:ascii="仿宋_GB2312" w:hAnsi="仿宋_GB2312" w:cs="仿宋_GB2312" w:eastAsia="仿宋_GB2312"/>
                      <w:sz w:val="21"/>
                    </w:rPr>
                    <w:t>≥</w:t>
                  </w:r>
                  <w:r>
                    <w:rPr>
                      <w:rFonts w:ascii="仿宋_GB2312" w:hAnsi="仿宋_GB2312" w:cs="仿宋_GB2312" w:eastAsia="仿宋_GB2312"/>
                      <w:sz w:val="21"/>
                    </w:rPr>
                    <w:t>20000ml</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台。</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w:t>
                  </w: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符合《中药煎药机行业标准》的相关要求，煎药效果</w:t>
                  </w:r>
                  <w:r>
                    <w:rPr>
                      <w:rFonts w:ascii="仿宋_GB2312" w:hAnsi="仿宋_GB2312" w:cs="仿宋_GB2312" w:eastAsia="仿宋_GB2312"/>
                      <w:sz w:val="21"/>
                    </w:rPr>
                    <w:t>有效成分</w:t>
                  </w:r>
                  <w:r>
                    <w:rPr>
                      <w:rFonts w:ascii="仿宋_GB2312" w:hAnsi="仿宋_GB2312" w:cs="仿宋_GB2312" w:eastAsia="仿宋_GB2312"/>
                      <w:sz w:val="21"/>
                    </w:rPr>
                    <w:t>煎出率不小于</w:t>
                  </w:r>
                  <w:r>
                    <w:rPr>
                      <w:rFonts w:ascii="仿宋_GB2312" w:hAnsi="仿宋_GB2312" w:cs="仿宋_GB2312" w:eastAsia="仿宋_GB2312"/>
                      <w:sz w:val="21"/>
                    </w:rPr>
                    <w:t>50%</w:t>
                  </w:r>
                  <w:r>
                    <w:rPr>
                      <w:rFonts w:ascii="仿宋_GB2312" w:hAnsi="仿宋_GB2312" w:cs="仿宋_GB2312" w:eastAsia="仿宋_GB2312"/>
                      <w:sz w:val="21"/>
                    </w:rPr>
                    <w:t>，以国家认可的相关检测机构出具的检验报告为准</w:t>
                  </w:r>
                  <w:r>
                    <w:rPr>
                      <w:rFonts w:ascii="仿宋_GB2312" w:hAnsi="仿宋_GB2312" w:cs="仿宋_GB2312" w:eastAsia="仿宋_GB2312"/>
                      <w:sz w:val="21"/>
                    </w:rPr>
                    <w:t>。</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可预设不少于</w:t>
                  </w:r>
                  <w:r>
                    <w:rPr>
                      <w:rFonts w:ascii="仿宋_GB2312" w:hAnsi="仿宋_GB2312" w:cs="仿宋_GB2312" w:eastAsia="仿宋_GB2312"/>
                      <w:sz w:val="21"/>
                    </w:rPr>
                    <w:t>12</w:t>
                  </w:r>
                  <w:r>
                    <w:rPr>
                      <w:rFonts w:ascii="仿宋_GB2312" w:hAnsi="仿宋_GB2312" w:cs="仿宋_GB2312" w:eastAsia="仿宋_GB2312"/>
                      <w:sz w:val="21"/>
                    </w:rPr>
                    <w:t>种煎药方案</w:t>
                  </w:r>
                  <w:r>
                    <w:rPr>
                      <w:rFonts w:ascii="仿宋_GB2312" w:hAnsi="仿宋_GB2312" w:cs="仿宋_GB2312" w:eastAsia="仿宋_GB2312"/>
                      <w:sz w:val="21"/>
                    </w:rPr>
                    <w:t>。</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4.</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w:t>
                  </w: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具备联网通讯功能</w:t>
                  </w:r>
                  <w:r>
                    <w:rPr>
                      <w:rFonts w:ascii="仿宋_GB2312" w:hAnsi="仿宋_GB2312" w:cs="仿宋_GB2312" w:eastAsia="仿宋_GB2312"/>
                      <w:sz w:val="21"/>
                    </w:rPr>
                    <w:t>，</w:t>
                  </w:r>
                  <w:r>
                    <w:rPr>
                      <w:rFonts w:ascii="仿宋_GB2312" w:hAnsi="仿宋_GB2312" w:cs="仿宋_GB2312" w:eastAsia="仿宋_GB2312"/>
                      <w:sz w:val="21"/>
                    </w:rPr>
                    <w:t>可支持通讯协议自动设置及实现煎药单据传输等通讯协议</w:t>
                  </w:r>
                  <w:r>
                    <w:rPr>
                      <w:rFonts w:ascii="仿宋_GB2312" w:hAnsi="仿宋_GB2312" w:cs="仿宋_GB2312" w:eastAsia="仿宋_GB2312"/>
                      <w:sz w:val="21"/>
                    </w:rPr>
                    <w:t>。</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5.</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符合</w:t>
                  </w:r>
                  <w:r>
                    <w:rPr>
                      <w:rFonts w:ascii="仿宋_GB2312" w:hAnsi="仿宋_GB2312" w:cs="仿宋_GB2312" w:eastAsia="仿宋_GB2312"/>
                      <w:sz w:val="21"/>
                    </w:rPr>
                    <w:t>《</w:t>
                  </w:r>
                  <w:r>
                    <w:rPr>
                      <w:rFonts w:ascii="仿宋_GB2312" w:hAnsi="仿宋_GB2312" w:cs="仿宋_GB2312" w:eastAsia="仿宋_GB2312"/>
                      <w:sz w:val="21"/>
                    </w:rPr>
                    <w:t>医疗机构中药煎药室管理规范</w:t>
                  </w:r>
                  <w:r>
                    <w:rPr>
                      <w:rFonts w:ascii="仿宋_GB2312" w:hAnsi="仿宋_GB2312" w:cs="仿宋_GB2312" w:eastAsia="仿宋_GB2312"/>
                      <w:sz w:val="21"/>
                    </w:rPr>
                    <w:t>》</w:t>
                  </w:r>
                  <w:r>
                    <w:rPr>
                      <w:rFonts w:ascii="仿宋_GB2312" w:hAnsi="仿宋_GB2312" w:cs="仿宋_GB2312" w:eastAsia="仿宋_GB2312"/>
                      <w:sz w:val="21"/>
                    </w:rPr>
                    <w:t>的相关要求。具有常压煎药功能，自动完成一煎两煎的全过程。可实现二煎煎药，二煎时自动加水，自动清洗。</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采用一键式滑盖锁紧装置。</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具有</w:t>
                  </w:r>
                  <w:r>
                    <w:rPr>
                      <w:rFonts w:ascii="仿宋_GB2312" w:hAnsi="仿宋_GB2312" w:cs="仿宋_GB2312" w:eastAsia="仿宋_GB2312"/>
                      <w:sz w:val="21"/>
                    </w:rPr>
                    <w:t>先煎后下提示功能，可实现常压煎药、密闭煎药、循环煎药功能。</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w:t>
                  </w: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采用双滑道定位的电动机械挤压系统，实现药渣充分分离。</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9.</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采用</w:t>
                  </w:r>
                  <w:r>
                    <w:rPr>
                      <w:rFonts w:ascii="仿宋_GB2312" w:hAnsi="仿宋_GB2312" w:cs="仿宋_GB2312" w:eastAsia="仿宋_GB2312"/>
                      <w:sz w:val="21"/>
                    </w:rPr>
                    <w:t>304</w:t>
                  </w:r>
                  <w:r>
                    <w:rPr>
                      <w:rFonts w:ascii="仿宋_GB2312" w:hAnsi="仿宋_GB2312" w:cs="仿宋_GB2312" w:eastAsia="仿宋_GB2312"/>
                      <w:sz w:val="21"/>
                    </w:rPr>
                    <w:t>不锈钢锅体，内置不锈钢二煎储药罐。</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具有</w:t>
                  </w:r>
                  <w:r>
                    <w:rPr>
                      <w:rFonts w:ascii="仿宋_GB2312" w:hAnsi="仿宋_GB2312" w:cs="仿宋_GB2312" w:eastAsia="仿宋_GB2312"/>
                      <w:sz w:val="21"/>
                    </w:rPr>
                    <w:t>报警装置及</w:t>
                  </w:r>
                  <w:r>
                    <w:rPr>
                      <w:rFonts w:ascii="仿宋_GB2312" w:hAnsi="仿宋_GB2312" w:cs="仿宋_GB2312" w:eastAsia="仿宋_GB2312"/>
                      <w:sz w:val="21"/>
                    </w:rPr>
                    <w:t>防温度过高和防干烧功能</w:t>
                  </w:r>
                  <w:r>
                    <w:rPr>
                      <w:rFonts w:ascii="仿宋_GB2312" w:hAnsi="仿宋_GB2312" w:cs="仿宋_GB2312" w:eastAsia="仿宋_GB2312"/>
                      <w:sz w:val="21"/>
                    </w:rPr>
                    <w:t>。</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具有</w:t>
                  </w:r>
                  <w:r>
                    <w:rPr>
                      <w:rFonts w:ascii="仿宋_GB2312" w:hAnsi="仿宋_GB2312" w:cs="仿宋_GB2312" w:eastAsia="仿宋_GB2312"/>
                      <w:sz w:val="21"/>
                    </w:rPr>
                    <w:t>数控煎药计时、定时功能。</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具有文火、武火煎药功能且可以自动转换</w:t>
                  </w:r>
                  <w:r>
                    <w:rPr>
                      <w:rFonts w:ascii="仿宋_GB2312" w:hAnsi="仿宋_GB2312" w:cs="仿宋_GB2312" w:eastAsia="仿宋_GB2312"/>
                      <w:sz w:val="21"/>
                    </w:rPr>
                    <w:t>。</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具有安全卸压阀，双安全阀超压报警，自动卸压自动闭合。</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w:t>
                  </w: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r>
                    <w:rPr>
                      <w:rFonts w:ascii="仿宋_GB2312" w:hAnsi="仿宋_GB2312" w:cs="仿宋_GB2312" w:eastAsia="仿宋_GB2312"/>
                      <w:sz w:val="21"/>
                    </w:rPr>
                    <w:t>蒸汽循环回收功能，煎药蒸汽经风冷冷凝器回收。</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15.</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可配备单体包装机。</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w:t>
                  </w: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所投设备须配合医院完成与现有煎药管理控制系统的数据对接</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r>
          </w:tbl>
          <w:p/>
        </w:tc>
      </w:tr>
    </w:tbl>
    <w:p>
      <w:pPr>
        <w:pStyle w:val="null3"/>
      </w:pPr>
      <w:r>
        <w:rPr>
          <w:rFonts w:ascii="仿宋_GB2312" w:hAnsi="仿宋_GB2312" w:cs="仿宋_GB2312" w:eastAsia="仿宋_GB2312"/>
        </w:rPr>
        <w:t>标的名称：30L自动煎药机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2"/>
              <w:gridCol w:w="251"/>
              <w:gridCol w:w="1805"/>
              <w:gridCol w:w="335"/>
            </w:tblGrid>
            <w:tr>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参数性质</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内容</w:t>
                  </w:r>
                </w:p>
              </w:tc>
              <w:tc>
                <w:tcPr>
                  <w:tcW w:type="dxa" w:w="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是否须</w:t>
                  </w:r>
                </w:p>
                <w:p>
                  <w:pPr>
                    <w:pStyle w:val="null3"/>
                    <w:jc w:val="center"/>
                  </w:pPr>
                  <w:r>
                    <w:rPr>
                      <w:rFonts w:ascii="仿宋_GB2312" w:hAnsi="仿宋_GB2312" w:cs="仿宋_GB2312" w:eastAsia="仿宋_GB2312"/>
                      <w:sz w:val="21"/>
                    </w:rPr>
                    <w:t>提供证</w:t>
                  </w:r>
                </w:p>
                <w:p>
                  <w:pPr>
                    <w:pStyle w:val="null3"/>
                    <w:jc w:val="center"/>
                  </w:pPr>
                  <w:r>
                    <w:rPr>
                      <w:rFonts w:ascii="仿宋_GB2312" w:hAnsi="仿宋_GB2312" w:cs="仿宋_GB2312" w:eastAsia="仿宋_GB2312"/>
                      <w:sz w:val="21"/>
                    </w:rPr>
                    <w:t>明资料</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容量：</w:t>
                  </w:r>
                  <w:r>
                    <w:rPr>
                      <w:rFonts w:ascii="仿宋_GB2312" w:hAnsi="仿宋_GB2312" w:cs="仿宋_GB2312" w:eastAsia="仿宋_GB2312"/>
                      <w:sz w:val="21"/>
                    </w:rPr>
                    <w:t>≥</w:t>
                  </w:r>
                  <w:r>
                    <w:rPr>
                      <w:rFonts w:ascii="仿宋_GB2312" w:hAnsi="仿宋_GB2312" w:cs="仿宋_GB2312" w:eastAsia="仿宋_GB2312"/>
                      <w:sz w:val="21"/>
                    </w:rPr>
                    <w:t>30000ml</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台。</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w:t>
                  </w: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符合《中药煎药机行业标准》的相关要求，煎药效果有效成份煎出率不小于</w:t>
                  </w:r>
                  <w:r>
                    <w:rPr>
                      <w:rFonts w:ascii="仿宋_GB2312" w:hAnsi="仿宋_GB2312" w:cs="仿宋_GB2312" w:eastAsia="仿宋_GB2312"/>
                      <w:sz w:val="21"/>
                    </w:rPr>
                    <w:t>50%</w:t>
                  </w:r>
                  <w:r>
                    <w:rPr>
                      <w:rFonts w:ascii="仿宋_GB2312" w:hAnsi="仿宋_GB2312" w:cs="仿宋_GB2312" w:eastAsia="仿宋_GB2312"/>
                      <w:sz w:val="21"/>
                    </w:rPr>
                    <w:t>，以国家认可的相关检测机构出具的检验报告为准</w:t>
                  </w:r>
                  <w:r>
                    <w:rPr>
                      <w:rFonts w:ascii="仿宋_GB2312" w:hAnsi="仿宋_GB2312" w:cs="仿宋_GB2312" w:eastAsia="仿宋_GB2312"/>
                      <w:sz w:val="21"/>
                    </w:rPr>
                    <w:t>。</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可预设不少于</w:t>
                  </w:r>
                  <w:r>
                    <w:rPr>
                      <w:rFonts w:ascii="仿宋_GB2312" w:hAnsi="仿宋_GB2312" w:cs="仿宋_GB2312" w:eastAsia="仿宋_GB2312"/>
                      <w:sz w:val="21"/>
                    </w:rPr>
                    <w:t>12</w:t>
                  </w:r>
                  <w:r>
                    <w:rPr>
                      <w:rFonts w:ascii="仿宋_GB2312" w:hAnsi="仿宋_GB2312" w:cs="仿宋_GB2312" w:eastAsia="仿宋_GB2312"/>
                      <w:sz w:val="21"/>
                    </w:rPr>
                    <w:t>种煎药方案</w:t>
                  </w:r>
                  <w:r>
                    <w:rPr>
                      <w:rFonts w:ascii="仿宋_GB2312" w:hAnsi="仿宋_GB2312" w:cs="仿宋_GB2312" w:eastAsia="仿宋_GB2312"/>
                      <w:sz w:val="21"/>
                    </w:rPr>
                    <w:t>。</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4.</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w:t>
                  </w: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具备联网通讯功能</w:t>
                  </w:r>
                  <w:r>
                    <w:rPr>
                      <w:rFonts w:ascii="仿宋_GB2312" w:hAnsi="仿宋_GB2312" w:cs="仿宋_GB2312" w:eastAsia="仿宋_GB2312"/>
                      <w:sz w:val="21"/>
                    </w:rPr>
                    <w:t>，</w:t>
                  </w:r>
                  <w:r>
                    <w:rPr>
                      <w:rFonts w:ascii="仿宋_GB2312" w:hAnsi="仿宋_GB2312" w:cs="仿宋_GB2312" w:eastAsia="仿宋_GB2312"/>
                      <w:sz w:val="21"/>
                    </w:rPr>
                    <w:t>可支持通讯协议自动设置及实现煎药单据传输等通讯协议</w:t>
                  </w:r>
                  <w:r>
                    <w:rPr>
                      <w:rFonts w:ascii="仿宋_GB2312" w:hAnsi="仿宋_GB2312" w:cs="仿宋_GB2312" w:eastAsia="仿宋_GB2312"/>
                      <w:sz w:val="21"/>
                    </w:rPr>
                    <w:t>。</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5.</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符合</w:t>
                  </w:r>
                  <w:r>
                    <w:rPr>
                      <w:rFonts w:ascii="仿宋_GB2312" w:hAnsi="仿宋_GB2312" w:cs="仿宋_GB2312" w:eastAsia="仿宋_GB2312"/>
                      <w:sz w:val="21"/>
                    </w:rPr>
                    <w:t>《</w:t>
                  </w:r>
                  <w:r>
                    <w:rPr>
                      <w:rFonts w:ascii="仿宋_GB2312" w:hAnsi="仿宋_GB2312" w:cs="仿宋_GB2312" w:eastAsia="仿宋_GB2312"/>
                      <w:sz w:val="21"/>
                    </w:rPr>
                    <w:t>医疗机构中药煎药室管理规范</w:t>
                  </w:r>
                  <w:r>
                    <w:rPr>
                      <w:rFonts w:ascii="仿宋_GB2312" w:hAnsi="仿宋_GB2312" w:cs="仿宋_GB2312" w:eastAsia="仿宋_GB2312"/>
                      <w:sz w:val="21"/>
                    </w:rPr>
                    <w:t>》</w:t>
                  </w:r>
                  <w:r>
                    <w:rPr>
                      <w:rFonts w:ascii="仿宋_GB2312" w:hAnsi="仿宋_GB2312" w:cs="仿宋_GB2312" w:eastAsia="仿宋_GB2312"/>
                      <w:sz w:val="21"/>
                    </w:rPr>
                    <w:t>的相关要求。具有常压煎药功能，自动完成一煎两煎的全过程。可实现二煎煎药，二煎时自动加水，自动清洗。</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采用一键式滑盖锁紧装置。</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具有</w:t>
                  </w:r>
                  <w:r>
                    <w:rPr>
                      <w:rFonts w:ascii="仿宋_GB2312" w:hAnsi="仿宋_GB2312" w:cs="仿宋_GB2312" w:eastAsia="仿宋_GB2312"/>
                      <w:sz w:val="21"/>
                    </w:rPr>
                    <w:t>先煎后下提示功能，可实现常压煎药、密闭煎药、循环煎药功能。</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w:t>
                  </w: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采用双滑道定位的电动机械挤压系统，实现药渣充分分离。</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9.</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采用</w:t>
                  </w:r>
                  <w:r>
                    <w:rPr>
                      <w:rFonts w:ascii="仿宋_GB2312" w:hAnsi="仿宋_GB2312" w:cs="仿宋_GB2312" w:eastAsia="仿宋_GB2312"/>
                      <w:sz w:val="21"/>
                    </w:rPr>
                    <w:t>304</w:t>
                  </w:r>
                  <w:r>
                    <w:rPr>
                      <w:rFonts w:ascii="仿宋_GB2312" w:hAnsi="仿宋_GB2312" w:cs="仿宋_GB2312" w:eastAsia="仿宋_GB2312"/>
                      <w:sz w:val="21"/>
                    </w:rPr>
                    <w:t>不锈钢锅体，内置不锈钢二煎储药罐。</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具有</w:t>
                  </w:r>
                  <w:r>
                    <w:rPr>
                      <w:rFonts w:ascii="仿宋_GB2312" w:hAnsi="仿宋_GB2312" w:cs="仿宋_GB2312" w:eastAsia="仿宋_GB2312"/>
                      <w:sz w:val="21"/>
                    </w:rPr>
                    <w:t>报警装置及</w:t>
                  </w:r>
                  <w:r>
                    <w:rPr>
                      <w:rFonts w:ascii="仿宋_GB2312" w:hAnsi="仿宋_GB2312" w:cs="仿宋_GB2312" w:eastAsia="仿宋_GB2312"/>
                      <w:sz w:val="21"/>
                    </w:rPr>
                    <w:t>防温度过高和防干烧功能</w:t>
                  </w:r>
                  <w:r>
                    <w:rPr>
                      <w:rFonts w:ascii="仿宋_GB2312" w:hAnsi="仿宋_GB2312" w:cs="仿宋_GB2312" w:eastAsia="仿宋_GB2312"/>
                      <w:sz w:val="21"/>
                    </w:rPr>
                    <w:t>。</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具有</w:t>
                  </w:r>
                  <w:r>
                    <w:rPr>
                      <w:rFonts w:ascii="仿宋_GB2312" w:hAnsi="仿宋_GB2312" w:cs="仿宋_GB2312" w:eastAsia="仿宋_GB2312"/>
                      <w:sz w:val="21"/>
                    </w:rPr>
                    <w:t>数控煎药计时、定时功能。</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具有文火、武火煎药功能且可以自动转换</w:t>
                  </w:r>
                  <w:r>
                    <w:rPr>
                      <w:rFonts w:ascii="仿宋_GB2312" w:hAnsi="仿宋_GB2312" w:cs="仿宋_GB2312" w:eastAsia="仿宋_GB2312"/>
                      <w:sz w:val="21"/>
                    </w:rPr>
                    <w:t>。</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具有安全卸压阀，双安全阀超压报警，自动卸压自动闭合。</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w:t>
                  </w: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r>
                    <w:rPr>
                      <w:rFonts w:ascii="仿宋_GB2312" w:hAnsi="仿宋_GB2312" w:cs="仿宋_GB2312" w:eastAsia="仿宋_GB2312"/>
                      <w:sz w:val="21"/>
                    </w:rPr>
                    <w:t>蒸汽循环回收功能，煎药蒸汽经风冷冷凝器回收。</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15.</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可配备单体包装机。</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w:t>
                  </w: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所投设备须配合医院完成与现有煎药管理控制系统的数据对接</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r>
          </w:tbl>
          <w:p/>
        </w:tc>
      </w:tr>
    </w:tbl>
    <w:p>
      <w:pPr>
        <w:pStyle w:val="null3"/>
      </w:pPr>
      <w:r>
        <w:rPr>
          <w:rFonts w:ascii="仿宋_GB2312" w:hAnsi="仿宋_GB2312" w:cs="仿宋_GB2312" w:eastAsia="仿宋_GB2312"/>
        </w:rPr>
        <w:t>标的名称：中药汤剂包装贴标一体机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2"/>
              <w:gridCol w:w="251"/>
              <w:gridCol w:w="1810"/>
              <w:gridCol w:w="330"/>
            </w:tblGrid>
            <w:tr>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参数性质</w:t>
                  </w:r>
                </w:p>
              </w:tc>
              <w:tc>
                <w:tcPr>
                  <w:tcW w:type="dxa" w:w="18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内容</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是否须</w:t>
                  </w:r>
                </w:p>
                <w:p>
                  <w:pPr>
                    <w:pStyle w:val="null3"/>
                    <w:jc w:val="center"/>
                  </w:pPr>
                  <w:r>
                    <w:rPr>
                      <w:rFonts w:ascii="仿宋_GB2312" w:hAnsi="仿宋_GB2312" w:cs="仿宋_GB2312" w:eastAsia="仿宋_GB2312"/>
                      <w:sz w:val="21"/>
                    </w:rPr>
                    <w:t>提供证</w:t>
                  </w:r>
                </w:p>
                <w:p>
                  <w:pPr>
                    <w:pStyle w:val="null3"/>
                    <w:jc w:val="center"/>
                  </w:pPr>
                  <w:r>
                    <w:rPr>
                      <w:rFonts w:ascii="仿宋_GB2312" w:hAnsi="仿宋_GB2312" w:cs="仿宋_GB2312" w:eastAsia="仿宋_GB2312"/>
                      <w:sz w:val="21"/>
                    </w:rPr>
                    <w:t>明资料</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1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嵌入式打印机，收纸送纸与打印机集成一体。</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w:t>
                  </w:r>
                </w:p>
              </w:tc>
              <w:tc>
                <w:tcPr>
                  <w:tcW w:type="dxa" w:w="1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一体化设计，不再分离包装和贴标工序。</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1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采用滚压式贴标原理。</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w:t>
                  </w:r>
                </w:p>
              </w:tc>
              <w:tc>
                <w:tcPr>
                  <w:tcW w:type="dxa" w:w="1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具备联网通讯功能</w:t>
                  </w:r>
                  <w:r>
                    <w:rPr>
                      <w:rFonts w:ascii="仿宋_GB2312" w:hAnsi="仿宋_GB2312" w:cs="仿宋_GB2312" w:eastAsia="仿宋_GB2312"/>
                      <w:sz w:val="21"/>
                    </w:rPr>
                    <w:t>，</w:t>
                  </w:r>
                  <w:r>
                    <w:rPr>
                      <w:rFonts w:ascii="仿宋_GB2312" w:hAnsi="仿宋_GB2312" w:cs="仿宋_GB2312" w:eastAsia="仿宋_GB2312"/>
                      <w:sz w:val="21"/>
                    </w:rPr>
                    <w:t>可实现煎药单数据传输等通讯协议，并支持包数、包装量通讯协议的自动设置</w:t>
                  </w:r>
                  <w:r>
                    <w:rPr>
                      <w:rFonts w:ascii="仿宋_GB2312" w:hAnsi="仿宋_GB2312" w:cs="仿宋_GB2312" w:eastAsia="仿宋_GB2312"/>
                      <w:sz w:val="21"/>
                    </w:rPr>
                    <w:t>。</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5.</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w:t>
                  </w:r>
                </w:p>
              </w:tc>
              <w:tc>
                <w:tcPr>
                  <w:tcW w:type="dxa" w:w="1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自动完成信息打印，自动取标、自动贴标。</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6.</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1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具有断电记忆功能</w:t>
                  </w:r>
                  <w:r>
                    <w:rPr>
                      <w:rFonts w:ascii="仿宋_GB2312" w:hAnsi="仿宋_GB2312" w:cs="仿宋_GB2312" w:eastAsia="仿宋_GB2312"/>
                      <w:sz w:val="21"/>
                    </w:rPr>
                    <w:t>。</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1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封合温度数字化控制，可以设定自动恒定。</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1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包装量为</w:t>
                  </w:r>
                  <w:r>
                    <w:rPr>
                      <w:rFonts w:ascii="仿宋_GB2312" w:hAnsi="仿宋_GB2312" w:cs="仿宋_GB2312" w:eastAsia="仿宋_GB2312"/>
                      <w:sz w:val="21"/>
                    </w:rPr>
                    <w:t>50-250ml</w:t>
                  </w:r>
                  <w:r>
                    <w:rPr>
                      <w:rFonts w:ascii="仿宋_GB2312" w:hAnsi="仿宋_GB2312" w:cs="仿宋_GB2312" w:eastAsia="仿宋_GB2312"/>
                      <w:sz w:val="21"/>
                    </w:rPr>
                    <w:t>无极变量可调包装。</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1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适用于老人、儿童、成年人等不同用量。</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w:t>
                  </w:r>
                </w:p>
              </w:tc>
              <w:tc>
                <w:tcPr>
                  <w:tcW w:type="dxa" w:w="1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包装平均速度</w:t>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袋</w:t>
                  </w:r>
                  <w:r>
                    <w:rPr>
                      <w:rFonts w:ascii="仿宋_GB2312" w:hAnsi="仿宋_GB2312" w:cs="仿宋_GB2312" w:eastAsia="仿宋_GB2312"/>
                      <w:sz w:val="21"/>
                    </w:rPr>
                    <w:t>/</w:t>
                  </w:r>
                  <w:r>
                    <w:rPr>
                      <w:rFonts w:ascii="仿宋_GB2312" w:hAnsi="仿宋_GB2312" w:cs="仿宋_GB2312" w:eastAsia="仿宋_GB2312"/>
                      <w:sz w:val="21"/>
                    </w:rPr>
                    <w:t>分。</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合同签订且接采购人通知后 15 个日历日内。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陕西中医药大学第二附属医院指定地点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进度款，货到安装调试验收合格办理入库后，乙方于 3 个工作日内持全额正式税务发票向甲方提出支付申请，达到付款条件起30个工作日内，支付合同总金额的65.0%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进度款，设备办理入库并正常运行3个月后，乙方提供的商品无故障等各种情况发生，达到付款条件起30个工作日内，支付合同总金额的30.0%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进度款，设备正常运转1年后，乙方就合同约定义务全部履行完毕后，达到付款条件起30个工作日内，支付合同总金额的5.0%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1、验收要求：乙方按照甲方要求将全部货物送到甲方指定地点进行安装、调试，并对甲方工作人员进行培训，完成后向甲方提出验收申请，甲方须在乙方提出书面验收申请之日起 2 个工作日内，组织验收工作。甲乙双方验收人员共同对货物的外观、数量、商标、型号、规格及性能等进行验收，验收合格后甲乙双方共同签署验收单。验收不合格的，乙方应于7日内进行重新配送，交货日期不予延长，超过交货期限的，乙方按照本合同第十三条第1款向甲方支付延期交货违约金。 2、验收标准：应按照国家相关法律法规要求及相关质量体系认证标准为准。 3、验收依据：单证齐全，应有产品合格证、质量证明、使用说明、保修保质证明、发票和其他应当具有的单证，并符合国家法律、法规对该产品规定的国家标准的要求。 4、货物验收单仅证明乙方所提供的货物截止出具验收单之日时可以按合同要求予以接受，但不能视为乙方对货物存在的潜在缺陷责任的解除。此验收不作为对货物内质量认定的依据。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1、乙方必须具有完善的售后服务体系，高水平的技术维修人员和良好的设备备件供应能力。2、乙方同意该产品自安装、调试、验收合格并正常使用之日起免费保修，保质期为 叁 年，在保修、保质期内出现的任何质量问题，乙方保证在接到甲方维修通知之日起24小时内派专业维修人员赶赴现场（即甲方指定地点）进行维修，并于3日内使设备恢复正常使用。3、保修、保质期内，要确保该产品系统正常运行，开机率不得低于95%，如经过两次维修后仍达不到此标准，乙方应于7日内负责调换部分或整个产品设备，保修、保质期作相应延长，并承担自产品出现故障之日起至产品再次正常运行使用之日期间给甲方造成的所有经济损失。若更换后产品还达不到此标准，视为乙方根本违约，甲方有权单方解除合同，解除合同的通知达到乙方之日视为合同已解除，乙方应无条件退货，并承担给甲方造成的所有经济损失。4、保修、保质期内，维修费用、乙方维修人员的差旅费及其他相关费用均由乙方承担。5、保修、保质期满后，乙方负责终身优质服务，检修更换的产品配置零件按标准报价 8 折的优惠价向甲方提供，免人工费、差旅费及工时费，只收取更换的零配件成本费。6、乙方负责产品机型系统错误改进，在保修、保质期内对该机型的软件免费更换或升级。7、如以后该产品升级换代，乙方愿意以优惠价格向甲方提供。8、如因产品本身的隐蔽瑕疵而出现的质量问题，乙方应全面负责维修调试或更新更换并承担全部费用。9、乙方必须严格依据合同约定及投标文件中的售后服务承诺履行售后服务义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如不能及时交货或未按照本合同约定及时安装、调试完毕或违反第九条约定，迟延30日视为乙方根本违约，甲方有权单方解除合同，同时乙方应向甲方支付本合同总价款10 %的违约金。如交付的产品数量、品种、规格、质量不符合国家标准和合同约定的由乙方负责包修、包换、退货，乙方应于7日内完成产品的维修或退/换货，并承担由此给甲方造成的所有经济损失；逾期交货的，应向甲方支付迟延履行的违约金，每日违约金按逾期交货货款金额万分之一计算。2、除前款约定外，乙方未按合同要求提供产品或提供虚假材料，且质量不能满足技术要求的，视为乙方根本违约，甲方有权单方终止合同，同时要求乙方承担承担本合同总价款10％的违约金，违约金不足以弥补损失的，由乙方另行支付。3、自本合同签订之日起，若甲方无故中途退货，应向乙方支付退货部分货款的10 %的违约金。4、甲方应当按时向乙方支付货款，逾期付款的，应向乙方支付迟延履行的违约金，每日违约金按逾期付款金额的万分之一计算。5、乙方未按照本合同第十条第2款完成维修义务的，每迟延一日应向甲方支付合同总价款万分之一的违约金，迟延超过7日的，甲方有权委托第三方进行维修，由此产生的费用由乙方承担。</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本项目所属行业为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3.5.2提供核心产品相同品牌且通过资格审查、符合性审查的不同投标人参加同一包（标段）投标的，按一家投标人计算，评审后得分最高的同品牌投标人获得中标人推荐资格；评审得分相同的，由采购人自行确定一个投标人获得中标人推荐资格，其他同品牌投标人不作为中标候选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（1）主体资格证明： 1)企业投标的：营业执照 ，2)事业单位投标的：事业单位法人证书，3)其他组织投标的：登记证书，4)个体工商户投标的：个体工商户营业执照，5）自然人投标的：身份证；（2）税收缴纳证明：提供供应商自投标前1年以来已缴纳任意时段完税凭证或税务机关开具的完税证明（任意税种）；依法免税的应提供相关文件证明；（3）社会保障资金缴纳证明：提供供应商自投标前1年以来已缴存的任意时段的社会保障资金缴存单据或社保机构开具的社会保险参保缴费情况证明或包含社会保障资金的完税证明；依法不需要缴纳社会保障资金的供应商应提供相关文件证明；（4）提供供应商具备履行合同所必需的设备和专业技术能力的证明材料；（5）投标人参加本次采购活动3年内，在经营活动中没有重大违法记录以及未被列入失信被执行人、重大税收违法案件当事人名单、政府采购严重违法失信行为记录名单的书面声明；（6）法定代表人（单位负责人）参加投标的，提供本人身份证复印件；法定代表人（单位负责人）授权他人参加投标的，提供法定代表人委托授权书及被授权代表的身份证。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2024年度或2025年度经审计的财务会计报告（投标人提供的经审计的财务报告应具有注册会计师行业统一监管平台赋予的验证码，并可通过统一监管平台或手机“扫一扫”等方式进行查验），包括“四表一注”或者银行资信证明（提供投标文件截止时间3个月内其基本账户开户银行出具的资信证明）。供应商需在项目电子化交易系统中按要求填写《投标函》完成承诺后，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投标文件签署、盖章的</w:t>
            </w:r>
          </w:p>
        </w:tc>
        <w:tc>
          <w:tcPr>
            <w:tcW w:type="dxa" w:w="3322"/>
          </w:tcPr>
          <w:p>
            <w:pPr>
              <w:pStyle w:val="null3"/>
            </w:pPr>
            <w:r>
              <w:rPr>
                <w:rFonts w:ascii="仿宋_GB2312" w:hAnsi="仿宋_GB2312" w:cs="仿宋_GB2312" w:eastAsia="仿宋_GB2312"/>
              </w:rPr>
              <w:t>按招标文件要求签署、盖章的</w:t>
            </w:r>
          </w:p>
        </w:tc>
        <w:tc>
          <w:tcPr>
            <w:tcW w:type="dxa" w:w="1661"/>
          </w:tcPr>
          <w:p>
            <w:pPr>
              <w:pStyle w:val="null3"/>
            </w:pPr>
            <w:r>
              <w:rPr>
                <w:rFonts w:ascii="仿宋_GB2312" w:hAnsi="仿宋_GB2312" w:cs="仿宋_GB2312" w:eastAsia="仿宋_GB2312"/>
              </w:rPr>
              <w:t>开标一览表 合同条款偏离表 产品技术参数响应表 投标函 中小企业声明函 残疾人福利性单位声明函 商务应答表 技术文件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只能有一个有效报价，不得提交选择性报价，且报价不超过第二章“投标人须知”前附表规定的采购预算金额或最高限价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交货时间满足文件最低要求(合格)，交货时间不满足文件最低要求(不合格)</w:t>
            </w:r>
          </w:p>
        </w:tc>
        <w:tc>
          <w:tcPr>
            <w:tcW w:type="dxa" w:w="1661"/>
          </w:tcPr>
          <w:p>
            <w:pPr>
              <w:pStyle w:val="null3"/>
            </w:pPr>
            <w:r>
              <w:rPr>
                <w:rFonts w:ascii="仿宋_GB2312" w:hAnsi="仿宋_GB2312" w:cs="仿宋_GB2312" w:eastAsia="仿宋_GB2312"/>
              </w:rPr>
              <w:t>开标一览表 商务应答表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保修期</w:t>
            </w:r>
          </w:p>
        </w:tc>
        <w:tc>
          <w:tcPr>
            <w:tcW w:type="dxa" w:w="3322"/>
          </w:tcPr>
          <w:p>
            <w:pPr>
              <w:pStyle w:val="null3"/>
            </w:pPr>
            <w:r>
              <w:rPr>
                <w:rFonts w:ascii="仿宋_GB2312" w:hAnsi="仿宋_GB2312" w:cs="仿宋_GB2312" w:eastAsia="仿宋_GB2312"/>
              </w:rPr>
              <w:t>保修期限满足文件最低要求(合格)，保修期限不满足文件最低要求(不合格)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投标文件投标有效期符合文件要求的(合格)，投标文件无投标有效期或有效期达不到文件要求的(不合格)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权利义务</w:t>
            </w:r>
          </w:p>
        </w:tc>
        <w:tc>
          <w:tcPr>
            <w:tcW w:type="dxa" w:w="3322"/>
          </w:tcPr>
          <w:p>
            <w:pPr>
              <w:pStyle w:val="null3"/>
            </w:pPr>
            <w:r>
              <w:rPr>
                <w:rFonts w:ascii="仿宋_GB2312" w:hAnsi="仿宋_GB2312" w:cs="仿宋_GB2312" w:eastAsia="仿宋_GB2312"/>
              </w:rPr>
              <w:t>符合“拟签订合同交本”条款中实质性要求和条件</w:t>
            </w:r>
          </w:p>
        </w:tc>
        <w:tc>
          <w:tcPr>
            <w:tcW w:type="dxa" w:w="1661"/>
          </w:tcPr>
          <w:p>
            <w:pPr>
              <w:pStyle w:val="null3"/>
            </w:pPr>
            <w:r>
              <w:rPr>
                <w:rFonts w:ascii="仿宋_GB2312" w:hAnsi="仿宋_GB2312" w:cs="仿宋_GB2312" w:eastAsia="仿宋_GB2312"/>
              </w:rPr>
              <w:t>合同条款偏离表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“★”符号标明的条款为实质性要求和条件，投标文件对其中任何一条的负偏离，为实质性偏离，其投标无效</w:t>
            </w:r>
          </w:p>
        </w:tc>
        <w:tc>
          <w:tcPr>
            <w:tcW w:type="dxa" w:w="3322"/>
          </w:tcPr>
          <w:p>
            <w:pPr>
              <w:pStyle w:val="null3"/>
            </w:pPr>
            <w:r>
              <w:rPr>
                <w:rFonts w:ascii="仿宋_GB2312" w:hAnsi="仿宋_GB2312" w:cs="仿宋_GB2312" w:eastAsia="仿宋_GB2312"/>
              </w:rPr>
              <w:t>“★”符号标明的条款为实质性要求和条件，投标文件对其中任何一条的负偏离，为实质性偏离，其投标无效</w:t>
            </w:r>
          </w:p>
        </w:tc>
        <w:tc>
          <w:tcPr>
            <w:tcW w:type="dxa" w:w="1661"/>
          </w:tcPr>
          <w:p>
            <w:pPr>
              <w:pStyle w:val="null3"/>
            </w:pPr>
            <w:r>
              <w:rPr>
                <w:rFonts w:ascii="仿宋_GB2312" w:hAnsi="仿宋_GB2312" w:cs="仿宋_GB2312" w:eastAsia="仿宋_GB2312"/>
              </w:rPr>
              <w:t>产品技术参数响应表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技术指标的响应程度</w:t>
            </w:r>
          </w:p>
        </w:tc>
        <w:tc>
          <w:tcPr>
            <w:tcW w:type="dxa" w:w="2492"/>
          </w:tcPr>
          <w:p>
            <w:pPr>
              <w:pStyle w:val="null3"/>
            </w:pPr>
            <w:r>
              <w:rPr>
                <w:rFonts w:ascii="仿宋_GB2312" w:hAnsi="仿宋_GB2312" w:cs="仿宋_GB2312" w:eastAsia="仿宋_GB2312"/>
              </w:rPr>
              <w:t>评标委员会根据投标文件中对技术指标的应答，并结合投标人提供的官方网站截图或产品白皮书或说明书或第三方机构检验报告或其他相关证明材料，对技术响应进行综合评价；产品技术参数清楚、明确，完全满足或优于招标文件要求得34分。 产品参数项共42项，其中“★”项1项，“▲”项13项，其他项28项。 “★”项为实质性参数，有一项不满足视为无效投标；“▲”项每满足一项计1分，其他项每满足一项计0.75分，满分34分。 注：标明需提供证明资料的参数项须提供证明资料，未提供证明资料的为不响应招标文件要求，其中“★”项未提供证明资料的视为无效投标，“▲”项及其他项未提供证明资料的相应项将不计得分。</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产品技术参数响应表</w:t>
            </w:r>
          </w:p>
          <w:p>
            <w:pPr>
              <w:pStyle w:val="null3"/>
            </w:pPr>
            <w:r>
              <w:rPr>
                <w:rFonts w:ascii="仿宋_GB2312" w:hAnsi="仿宋_GB2312" w:cs="仿宋_GB2312" w:eastAsia="仿宋_GB2312"/>
              </w:rPr>
              <w:t>技术文件</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一、评审内容：实施方案包含①组织生产、供货运输方案及安装调试方案；②接受采购人对项目实施方案、生产进度、货物质量、货款支付与结算审核等方面监督和管理等。 二、评审标准： （1）完整性：内容全面详尽，对各方面有详细的描述和说明。 （2）合理性：项目切合实际，进度控制合理、思路清晰，科学合理。 （3）针对性：方案编制紧扣项目特点和采购需求，针对性强，整体性高。 三、赋分标准（满分6分） ①组织生产、供货运输方案及安装调试方案：此评审满分3分，每完全满足一项评审标准得1分，针对每条评审标准，如存在不合理的方面扣0.5分，针对每条评审标准，内容与本项目无关或未提供得0分； ②接受采购人对项目实施方案、生产进度、货物质量、货款支付与结算审核等方面监督和管理等：此评审满分3分，每完全满足一项评审标准得1分，针对每条评审标准，如存在不合理的方面扣0.5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w:t>
            </w:r>
          </w:p>
        </w:tc>
      </w:tr>
      <w:tr>
        <w:tc>
          <w:tcPr>
            <w:tcW w:type="dxa" w:w="831"/>
            <w:vMerge/>
          </w:tcPr>
          <w:p/>
        </w:tc>
        <w:tc>
          <w:tcPr>
            <w:tcW w:type="dxa" w:w="1661"/>
          </w:tcPr>
          <w:p>
            <w:pPr>
              <w:pStyle w:val="null3"/>
            </w:pPr>
            <w:r>
              <w:rPr>
                <w:rFonts w:ascii="仿宋_GB2312" w:hAnsi="仿宋_GB2312" w:cs="仿宋_GB2312" w:eastAsia="仿宋_GB2312"/>
              </w:rPr>
              <w:t>产品质量保证措施</w:t>
            </w:r>
          </w:p>
        </w:tc>
        <w:tc>
          <w:tcPr>
            <w:tcW w:type="dxa" w:w="2492"/>
          </w:tcPr>
          <w:p>
            <w:pPr>
              <w:pStyle w:val="null3"/>
            </w:pPr>
            <w:r>
              <w:rPr>
                <w:rFonts w:ascii="仿宋_GB2312" w:hAnsi="仿宋_GB2312" w:cs="仿宋_GB2312" w:eastAsia="仿宋_GB2312"/>
              </w:rPr>
              <w:t>一、评审内容：投标产品符合国家相关质量标准，质量管理体系健全，质量保证措施有效可靠，符合招标人要求。 二、评审标准： （1）完整性：内容全面详尽，对各方面有详细的描述和说明。 （2）合理性：项目切合实际，进度控制合理、思路清晰，科学合理。 （3）针对性：方案编制紧扣项目特点和采购需求，针对性强，整体性高。 三、赋分标准（满分3分） 此评审满分3分，每完全满足一项评审标准得1分，针对每条评审标准，如存在不合理的方面扣0.5分，针对每条评审标准，内容与本项目无关或未提供得0分；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w:t>
            </w:r>
          </w:p>
        </w:tc>
      </w:tr>
      <w:tr>
        <w:tc>
          <w:tcPr>
            <w:tcW w:type="dxa" w:w="831"/>
            <w:vMerge/>
          </w:tcPr>
          <w:p/>
        </w:tc>
        <w:tc>
          <w:tcPr>
            <w:tcW w:type="dxa" w:w="1661"/>
          </w:tcPr>
          <w:p>
            <w:pPr>
              <w:pStyle w:val="null3"/>
            </w:pPr>
            <w:r>
              <w:rPr>
                <w:rFonts w:ascii="仿宋_GB2312" w:hAnsi="仿宋_GB2312" w:cs="仿宋_GB2312" w:eastAsia="仿宋_GB2312"/>
              </w:rPr>
              <w:t>产品来源证明资料</w:t>
            </w:r>
          </w:p>
        </w:tc>
        <w:tc>
          <w:tcPr>
            <w:tcW w:type="dxa" w:w="2492"/>
          </w:tcPr>
          <w:p>
            <w:pPr>
              <w:pStyle w:val="null3"/>
            </w:pPr>
            <w:r>
              <w:rPr>
                <w:rFonts w:ascii="仿宋_GB2312" w:hAnsi="仿宋_GB2312" w:cs="仿宋_GB2312" w:eastAsia="仿宋_GB2312"/>
              </w:rPr>
              <w:t>投标人应提供所投产品来源渠道的合法证明资料，包括但不限于产品制造商授权/销售协议、代理协议、生产厂家出具的相应功能证明材料或第三方检测机构出具的检测/检验报告等。 证明资料完整计2分，不完整或未提供本项不计得分。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技术文件</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一、评审内容：培训方案包括培训计划及内容、培训人员、培训时间安排、地点等，保证采购人能够安全、正常、熟练的使用投标产品。 二、评审标准： （1）完整性：内容全面详尽，对各方面有详细的描述和说明。 （2）合理性：项目切合实际，进度控制合理、思路清晰，科学合理。 （3）针对性：方案编制紧扣项目特点和采购需求，针对性强，整体性高。 三、赋分标准（满分3分） 此评审满分3分，每完全满足一项评审标准得1分，针对每条评审标准，如存在不合理的方面扣0.5分，针对每条评审标准，内容与本项目无关或未提供得0分。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一、评审内容；根据投标人针对本项目配备专业的售后服务机构及服务团队进行评审，包括送货、安装调试人员、售后服务人员、技术支持人员。 二、赋分标准（满分6分） 投标人提供的人员中①送货②安装调试人员③售后服务人员④技术支持人员类别齐全（每类别至少1人）得4分，不齐全不得分，每类别增加一名人员得1分，本项最高得6分。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技术文件</w:t>
            </w:r>
          </w:p>
        </w:tc>
      </w:tr>
      <w:tr>
        <w:tc>
          <w:tcPr>
            <w:tcW w:type="dxa" w:w="831"/>
            <w:vMerge/>
          </w:tcPr>
          <w:p/>
        </w:tc>
        <w:tc>
          <w:tcPr>
            <w:tcW w:type="dxa" w:w="1661"/>
          </w:tcPr>
          <w:p>
            <w:pPr>
              <w:pStyle w:val="null3"/>
            </w:pPr>
            <w:r>
              <w:rPr>
                <w:rFonts w:ascii="仿宋_GB2312" w:hAnsi="仿宋_GB2312" w:cs="仿宋_GB2312" w:eastAsia="仿宋_GB2312"/>
              </w:rPr>
              <w:t>售后服务方案及保障力度</w:t>
            </w:r>
          </w:p>
        </w:tc>
        <w:tc>
          <w:tcPr>
            <w:tcW w:type="dxa" w:w="2492"/>
          </w:tcPr>
          <w:p>
            <w:pPr>
              <w:pStyle w:val="null3"/>
            </w:pPr>
            <w:r>
              <w:rPr>
                <w:rFonts w:ascii="仿宋_GB2312" w:hAnsi="仿宋_GB2312" w:cs="仿宋_GB2312" w:eastAsia="仿宋_GB2312"/>
              </w:rPr>
              <w:t>一、评审内容：售后服务方案及保障力度包括①质保期内的维护保养、相关技术支持方案②产品出现故障响应时间承诺、解决故障时间承诺、补救措施等。 二、评审标准： （1）完整性：内容全面详尽，对各方面有详细的描述和说明。 （2）合理性：项目切合实际，进度控制合理、思路清晰，科学合理。 （3）针对性：方案编制紧扣项目特点和采购需求，针对性强，整体性高。 三、赋分标准（满分6分） ①质保期内的维护保养、相关技术支持方案，此评审满分3分，每完全满足一项评审标准得1分，针对每条评审标准，如存在不合理的方面扣0.5分，针对每条评审标准，内容与本项目无关或未提供得0分； ②产品出现故障响应时间承诺、解决故障时间承诺、补救措施等，此评审满分3分，每完全满足一项评审标准得1分，针对每条评审标准，如存在不合理的方面扣0.5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投标人每提供一份（2023年1月1日至今）投标人的同类项目合同复印件得2分，最高得10分。 注：时间以合同签订时间为准，合同须清晰完整，完整是指合同文本须完整，金额可不体现，未按照要求提供不得分。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技术文件</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根据《关于进一步加大政府采购支持中小企业力度的通知》财库〔2022〕19号的相关规定，对小型和微型企业的价格给予10%的扣除，用扣除后的价格参与评审。（2）根据《财政部民政部中国残疾人联合会关于促进残疾人就业政府采购政策的通知》（财库〔2017〕141号）的规定，对符合条件的残疾人福利性单位设备的价格给予10%的扣除，用扣除后的价格参与评审。小型、微型企业和监狱企业级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详见附件：合同条款偏离表</w:t>
      </w:r>
    </w:p>
    <w:p>
      <w:pPr>
        <w:pStyle w:val="null3"/>
        <w:ind w:firstLine="960"/>
      </w:pPr>
      <w:r>
        <w:rPr>
          <w:rFonts w:ascii="仿宋_GB2312" w:hAnsi="仿宋_GB2312" w:cs="仿宋_GB2312" w:eastAsia="仿宋_GB2312"/>
        </w:rPr>
        <w:t>详见附件：产品技术参数响应表</w:t>
      </w:r>
    </w:p>
    <w:p>
      <w:pPr>
        <w:pStyle w:val="null3"/>
        <w:ind w:firstLine="960"/>
      </w:pPr>
      <w:r>
        <w:rPr>
          <w:rFonts w:ascii="仿宋_GB2312" w:hAnsi="仿宋_GB2312" w:cs="仿宋_GB2312" w:eastAsia="仿宋_GB2312"/>
        </w:rPr>
        <w:t>详见附件：技术文件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详见附件：商务应答表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