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版本号：CAZH-HZCG-2026026.1B20260819001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2026年洋县龙亭镇黄索溪村农事服务中心项目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CAZH-HZCG-2026026.1B</w:t>
      </w:r>
      <w:r>
        <w:br/>
      </w:r>
      <w:r>
        <w:br/>
      </w:r>
      <w:r>
        <w:br/>
      </w:r>
    </w:p>
    <w:p>
      <w:pPr>
        <w:pStyle w:val="null3"/>
        <w:jc w:val="center"/>
        <w:outlineLvl w:val="2"/>
      </w:pPr>
      <w:r>
        <w:rPr>
          <w:rFonts w:ascii="仿宋_GB2312" w:hAnsi="仿宋_GB2312" w:cs="仿宋_GB2312" w:eastAsia="仿宋_GB2312"/>
          <w:sz w:val="28"/>
          <w:b/>
        </w:rPr>
        <w:t>洋县龙亭镇人民政府</w:t>
      </w:r>
    </w:p>
    <w:p>
      <w:pPr>
        <w:pStyle w:val="null3"/>
        <w:jc w:val="center"/>
        <w:outlineLvl w:val="2"/>
      </w:pPr>
      <w:r>
        <w:rPr>
          <w:rFonts w:ascii="仿宋_GB2312" w:hAnsi="仿宋_GB2312" w:cs="仿宋_GB2312" w:eastAsia="仿宋_GB2312"/>
          <w:sz w:val="28"/>
          <w:b/>
        </w:rPr>
        <w:t>陕西辰安臻和项目管理有限公司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陕西辰安臻和项目管理有限公司</w:t>
      </w:r>
      <w:r>
        <w:rPr>
          <w:rFonts w:ascii="仿宋_GB2312" w:hAnsi="仿宋_GB2312" w:cs="仿宋_GB2312" w:eastAsia="仿宋_GB2312"/>
        </w:rPr>
        <w:t>（以下简称“代理机构”）受</w:t>
      </w:r>
      <w:r>
        <w:rPr>
          <w:rFonts w:ascii="仿宋_GB2312" w:hAnsi="仿宋_GB2312" w:cs="仿宋_GB2312" w:eastAsia="仿宋_GB2312"/>
        </w:rPr>
        <w:t>洋县龙亭镇人民政府</w:t>
      </w:r>
      <w:r>
        <w:rPr>
          <w:rFonts w:ascii="仿宋_GB2312" w:hAnsi="仿宋_GB2312" w:cs="仿宋_GB2312" w:eastAsia="仿宋_GB2312"/>
        </w:rPr>
        <w:t>委托，拟对</w:t>
      </w:r>
      <w:r>
        <w:rPr>
          <w:rFonts w:ascii="仿宋_GB2312" w:hAnsi="仿宋_GB2312" w:cs="仿宋_GB2312" w:eastAsia="仿宋_GB2312"/>
        </w:rPr>
        <w:t>2026年洋县龙亭镇黄索溪村农事服务中心项目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CAZH-HZCG-2026026.1B</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2026年洋县龙亭镇黄索溪村农事服务中心项目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购置128马力收割机1台，购买70马力拖拉机1台，购买2.3米旋耕机1台。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在项⽬电⼦化交易系统中按要求上传相应证明⽂件并进⾏电⼦签章。：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供应商需在项⽬电⼦化交易系统中按要求上传相应证明⽂件并进⾏电⼦签章。：按照汉中市财政局《关于全面推行政府采购供应商基本资格条件承诺制的通知》（汉采办采管〔2024〕20号）文件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洋县龙亭镇人民政府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陕西省汉中市洋县龙亭镇人民政府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洋县龙亭镇人民政府经办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13992620480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陕西辰安臻和项目管理有限公司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汉台区红叶⼤酒店后院汉中航空⼯业（集团）有限公司办公⼤楼⼆楼210室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石皓文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15319372697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开户名称：陕西⾠安臻和项⽬管理有限公司汉中分公司</w:t>
            </w:r>
          </w:p>
          <w:p>
            <w:pPr>
              <w:pStyle w:val="null3"/>
            </w:pPr>
            <w:r>
              <w:rPr>
                <w:rFonts w:ascii="仿宋_GB2312" w:hAnsi="仿宋_GB2312" w:cs="仿宋_GB2312" w:eastAsia="仿宋_GB2312"/>
              </w:rPr>
              <w:t>开户银行：中国⼯商银⾏股份有限公司汉中劳动西路⽀⾏</w:t>
            </w:r>
          </w:p>
          <w:p>
            <w:pPr>
              <w:pStyle w:val="null3"/>
            </w:pPr>
            <w:r>
              <w:rPr>
                <w:rFonts w:ascii="仿宋_GB2312" w:hAnsi="仿宋_GB2312" w:cs="仿宋_GB2312" w:eastAsia="仿宋_GB2312"/>
              </w:rPr>
              <w:t>银行账号：2606 0555 0910 0125 737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1、依据成交⾦额向采购代理机构交纳成交服务费，交费⾦额参照国家计委颁布的《招标代理服务收费管理暂⾏办法》（计价格[2002]1980号）及发改办价格[2003]857号⽂件的标准收取；2、本项⽬代理服务费按货物类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洋县龙亭镇人民政府</w:t>
      </w:r>
      <w:r>
        <w:rPr>
          <w:rFonts w:ascii="仿宋_GB2312" w:hAnsi="仿宋_GB2312" w:cs="仿宋_GB2312" w:eastAsia="仿宋_GB2312"/>
        </w:rPr>
        <w:t>和</w:t>
      </w:r>
      <w:r>
        <w:rPr>
          <w:rFonts w:ascii="仿宋_GB2312" w:hAnsi="仿宋_GB2312" w:cs="仿宋_GB2312" w:eastAsia="仿宋_GB2312"/>
        </w:rPr>
        <w:t>陕西辰安臻和项目管理有限公司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洋县龙亭镇人民政府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陕西辰安臻和项目管理有限公司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洋县龙亭镇人民政府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陕西辰安臻和项目管理有限公司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联系人：石皓文</w:t>
      </w:r>
    </w:p>
    <w:p>
      <w:pPr>
        <w:pStyle w:val="null3"/>
      </w:pPr>
      <w:r>
        <w:rPr>
          <w:rFonts w:ascii="仿宋_GB2312" w:hAnsi="仿宋_GB2312" w:cs="仿宋_GB2312" w:eastAsia="仿宋_GB2312"/>
        </w:rPr>
        <w:t>联系电话：15319372697</w:t>
      </w:r>
    </w:p>
    <w:p>
      <w:pPr>
        <w:pStyle w:val="null3"/>
      </w:pPr>
      <w:r>
        <w:rPr>
          <w:rFonts w:ascii="仿宋_GB2312" w:hAnsi="仿宋_GB2312" w:cs="仿宋_GB2312" w:eastAsia="仿宋_GB2312"/>
        </w:rPr>
        <w:t>地址：汉台区红叶⼤酒店后院汉中航空⼯业（集团）有限公司办公⼤楼⼆楼210室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购置128马力收割机1台，购买70马力拖拉机1台，购买2.3米旋耕机1台。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2026年洋县龙亭镇黄索溪村农事服务中心项目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标的名称：2026年洋县龙亭镇黄索溪村农事服务中心项目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收割机：1台</w:t>
            </w:r>
          </w:p>
          <w:p>
            <w:pPr>
              <w:pStyle w:val="null3"/>
            </w:pPr>
            <w:r>
              <w:rPr>
                <w:rFonts w:ascii="仿宋_GB2312" w:hAnsi="仿宋_GB2312" w:cs="仿宋_GB2312" w:eastAsia="仿宋_GB2312"/>
                <w:sz w:val="21"/>
              </w:rPr>
              <w:t>▲</w:t>
            </w:r>
            <w:r>
              <w:rPr>
                <w:rFonts w:ascii="仿宋_GB2312" w:hAnsi="仿宋_GB2312" w:cs="仿宋_GB2312" w:eastAsia="仿宋_GB2312"/>
              </w:rPr>
              <w:t>结构型式：全喂入，自走履带式；</w:t>
            </w:r>
            <w:r>
              <w:br/>
            </w:r>
            <w:r>
              <w:rPr>
                <w:rFonts w:ascii="仿宋_GB2312" w:hAnsi="仿宋_GB2312" w:cs="仿宋_GB2312" w:eastAsia="仿宋_GB2312"/>
                <w:sz w:val="21"/>
              </w:rPr>
              <w:t>▲</w:t>
            </w:r>
            <w:r>
              <w:rPr>
                <w:rFonts w:ascii="仿宋_GB2312" w:hAnsi="仿宋_GB2312" w:cs="仿宋_GB2312" w:eastAsia="仿宋_GB2312"/>
              </w:rPr>
              <w:t>配套发动机标定功率kW：≧94.2；</w:t>
            </w:r>
            <w:r>
              <w:br/>
            </w:r>
            <w:r>
              <w:rPr>
                <w:rFonts w:ascii="仿宋_GB2312" w:hAnsi="仿宋_GB2312" w:cs="仿宋_GB2312" w:eastAsia="仿宋_GB2312"/>
                <w:sz w:val="21"/>
              </w:rPr>
              <w:t>▲</w:t>
            </w:r>
            <w:r>
              <w:rPr>
                <w:rFonts w:ascii="仿宋_GB2312" w:hAnsi="仿宋_GB2312" w:cs="仿宋_GB2312" w:eastAsia="仿宋_GB2312"/>
              </w:rPr>
              <w:t>配套发动机标定转速r/min：≧2400；</w:t>
            </w:r>
            <w:r>
              <w:br/>
            </w:r>
            <w:r>
              <w:rPr>
                <w:rFonts w:ascii="仿宋_GB2312" w:hAnsi="仿宋_GB2312" w:cs="仿宋_GB2312" w:eastAsia="仿宋_GB2312"/>
                <w:sz w:val="21"/>
              </w:rPr>
              <w:t>▲</w:t>
            </w:r>
            <w:r>
              <w:rPr>
                <w:rFonts w:ascii="仿宋_GB2312" w:hAnsi="仿宋_GB2312" w:cs="仿宋_GB2312" w:eastAsia="仿宋_GB2312"/>
              </w:rPr>
              <w:t>割台工作幅宽mm：≧2400；</w:t>
            </w:r>
            <w:r>
              <w:br/>
            </w:r>
            <w:r>
              <w:rPr>
                <w:rFonts w:ascii="仿宋_GB2312" w:hAnsi="仿宋_GB2312" w:cs="仿宋_GB2312" w:eastAsia="仿宋_GB2312"/>
                <w:sz w:val="21"/>
              </w:rPr>
              <w:t>▲</w:t>
            </w:r>
            <w:r>
              <w:rPr>
                <w:rFonts w:ascii="仿宋_GB2312" w:hAnsi="仿宋_GB2312" w:cs="仿宋_GB2312" w:eastAsia="仿宋_GB2312"/>
              </w:rPr>
              <w:t>最小离地间隙mm：≦305；</w:t>
            </w:r>
            <w:r>
              <w:br/>
            </w:r>
            <w:r>
              <w:rPr>
                <w:rFonts w:ascii="仿宋_GB2312" w:hAnsi="仿宋_GB2312" w:cs="仿宋_GB2312" w:eastAsia="仿宋_GB2312"/>
                <w:sz w:val="21"/>
              </w:rPr>
              <w:t>▲</w:t>
            </w:r>
            <w:r>
              <w:rPr>
                <w:rFonts w:ascii="仿宋_GB2312" w:hAnsi="仿宋_GB2312" w:cs="仿宋_GB2312" w:eastAsia="仿宋_GB2312"/>
              </w:rPr>
              <w:t>喂入量kg/s：≧7.0；</w:t>
            </w:r>
            <w:r>
              <w:br/>
            </w:r>
            <w:r>
              <w:rPr>
                <w:rFonts w:ascii="仿宋_GB2312" w:hAnsi="仿宋_GB2312" w:cs="仿宋_GB2312" w:eastAsia="仿宋_GB2312"/>
                <w:sz w:val="21"/>
              </w:rPr>
              <w:t>★</w:t>
            </w:r>
            <w:r>
              <w:rPr>
                <w:rFonts w:ascii="仿宋_GB2312" w:hAnsi="仿宋_GB2312" w:cs="仿宋_GB2312" w:eastAsia="仿宋_GB2312"/>
              </w:rPr>
              <w:t>履带接地压力kPa：≦22.9；</w:t>
            </w:r>
            <w:r>
              <w:br/>
            </w:r>
            <w:r>
              <w:rPr>
                <w:rFonts w:ascii="仿宋_GB2312" w:hAnsi="仿宋_GB2312" w:cs="仿宋_GB2312" w:eastAsia="仿宋_GB2312"/>
              </w:rPr>
              <w:t xml:space="preserve"> 变速机构型式：机械变速+液压无级变速（HST）；</w:t>
            </w:r>
            <w:r>
              <w:br/>
            </w:r>
            <w:r>
              <w:rPr>
                <w:rFonts w:ascii="仿宋_GB2312" w:hAnsi="仿宋_GB2312" w:cs="仿宋_GB2312" w:eastAsia="仿宋_GB2312"/>
                <w:sz w:val="21"/>
              </w:rPr>
              <w:t>▲</w:t>
            </w:r>
            <w:r>
              <w:rPr>
                <w:rFonts w:ascii="仿宋_GB2312" w:hAnsi="仿宋_GB2312" w:cs="仿宋_GB2312" w:eastAsia="仿宋_GB2312"/>
              </w:rPr>
              <w:t xml:space="preserve">拨禾轮板数≧6个； </w:t>
            </w:r>
            <w:r>
              <w:br/>
            </w:r>
            <w:r>
              <w:rPr>
                <w:rFonts w:ascii="仿宋_GB2312" w:hAnsi="仿宋_GB2312" w:cs="仿宋_GB2312" w:eastAsia="仿宋_GB2312"/>
                <w:sz w:val="21"/>
              </w:rPr>
              <w:t>▲</w:t>
            </w:r>
            <w:r>
              <w:rPr>
                <w:rFonts w:ascii="仿宋_GB2312" w:hAnsi="仿宋_GB2312" w:cs="仿宋_GB2312" w:eastAsia="仿宋_GB2312"/>
              </w:rPr>
              <w:t>驾驶室类型：空调驾驶室；</w:t>
            </w:r>
            <w:r>
              <w:br/>
            </w:r>
            <w:r>
              <w:rPr>
                <w:rFonts w:ascii="仿宋_GB2312" w:hAnsi="仿宋_GB2312" w:cs="仿宋_GB2312" w:eastAsia="仿宋_GB2312"/>
                <w:sz w:val="21"/>
              </w:rPr>
              <w:t>▲</w:t>
            </w:r>
            <w:r>
              <w:rPr>
                <w:rFonts w:ascii="仿宋_GB2312" w:hAnsi="仿宋_GB2312" w:cs="仿宋_GB2312" w:eastAsia="仿宋_GB2312"/>
              </w:rPr>
              <w:t>卸粮方式：机械自动卸粮；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拖拉机：1台</w:t>
            </w:r>
          </w:p>
          <w:p>
            <w:pPr>
              <w:pStyle w:val="null3"/>
            </w:pPr>
            <w:r>
              <w:rPr>
                <w:rFonts w:ascii="仿宋_GB2312" w:hAnsi="仿宋_GB2312" w:cs="仿宋_GB2312" w:eastAsia="仿宋_GB2312"/>
              </w:rPr>
              <w:t>整机型式:轮式、四驱；</w:t>
            </w:r>
            <w:r>
              <w:br/>
            </w:r>
            <w:r>
              <w:rPr>
                <w:rFonts w:ascii="仿宋_GB2312" w:hAnsi="仿宋_GB2312" w:cs="仿宋_GB2312" w:eastAsia="仿宋_GB2312"/>
                <w:sz w:val="21"/>
              </w:rPr>
              <w:t>▲</w:t>
            </w:r>
            <w:r>
              <w:rPr>
                <w:rFonts w:ascii="仿宋_GB2312" w:hAnsi="仿宋_GB2312" w:cs="仿宋_GB2312" w:eastAsia="仿宋_GB2312"/>
              </w:rPr>
              <w:t>最小离地间隙及部位mm：≦465；</w:t>
            </w:r>
            <w:r>
              <w:br/>
            </w:r>
            <w:r>
              <w:rPr>
                <w:rFonts w:ascii="仿宋_GB2312" w:hAnsi="仿宋_GB2312" w:cs="仿宋_GB2312" w:eastAsia="仿宋_GB2312"/>
                <w:sz w:val="21"/>
              </w:rPr>
              <w:t>★</w:t>
            </w:r>
            <w:r>
              <w:rPr>
                <w:rFonts w:ascii="仿宋_GB2312" w:hAnsi="仿宋_GB2312" w:cs="仿宋_GB2312" w:eastAsia="仿宋_GB2312"/>
              </w:rPr>
              <w:t>最小使用比质量kg/kW：≧45.85；</w:t>
            </w:r>
            <w:r>
              <w:br/>
            </w:r>
            <w:r>
              <w:rPr>
                <w:rFonts w:ascii="仿宋_GB2312" w:hAnsi="仿宋_GB2312" w:cs="仿宋_GB2312" w:eastAsia="仿宋_GB2312"/>
                <w:sz w:val="21"/>
              </w:rPr>
              <w:t>▲</w:t>
            </w:r>
            <w:r>
              <w:rPr>
                <w:rFonts w:ascii="仿宋_GB2312" w:hAnsi="仿宋_GB2312" w:cs="仿宋_GB2312" w:eastAsia="仿宋_GB2312"/>
              </w:rPr>
              <w:t>挡位数（前进/倒退）：12/12；</w:t>
            </w:r>
            <w:r>
              <w:br/>
            </w:r>
            <w:r>
              <w:rPr>
                <w:rFonts w:ascii="仿宋_GB2312" w:hAnsi="仿宋_GB2312" w:cs="仿宋_GB2312" w:eastAsia="仿宋_GB2312"/>
                <w:sz w:val="21"/>
              </w:rPr>
              <w:t>▲</w:t>
            </w:r>
            <w:r>
              <w:rPr>
                <w:rFonts w:ascii="仿宋_GB2312" w:hAnsi="仿宋_GB2312" w:cs="仿宋_GB2312" w:eastAsia="仿宋_GB2312"/>
              </w:rPr>
              <w:t>发动机标定功率kW：≧66.2；</w:t>
            </w:r>
            <w:r>
              <w:br/>
            </w:r>
            <w:r>
              <w:rPr>
                <w:rFonts w:ascii="仿宋_GB2312" w:hAnsi="仿宋_GB2312" w:cs="仿宋_GB2312" w:eastAsia="仿宋_GB2312"/>
                <w:sz w:val="21"/>
              </w:rPr>
              <w:t>▲</w:t>
            </w:r>
            <w:r>
              <w:rPr>
                <w:rFonts w:ascii="仿宋_GB2312" w:hAnsi="仿宋_GB2312" w:cs="仿宋_GB2312" w:eastAsia="仿宋_GB2312"/>
              </w:rPr>
              <w:t>发动机标定转速r/min：≧2300；</w:t>
            </w:r>
            <w:r>
              <w:br/>
            </w:r>
            <w:r>
              <w:rPr>
                <w:rFonts w:ascii="仿宋_GB2312" w:hAnsi="仿宋_GB2312" w:cs="仿宋_GB2312" w:eastAsia="仿宋_GB2312"/>
              </w:rPr>
              <w:t xml:space="preserve"> 轮胎型号(前轮/后轮)：9.5-24（水田）/14.9-30（水田）</w:t>
            </w:r>
            <w:r>
              <w:br/>
            </w:r>
            <w:r>
              <w:rPr>
                <w:rFonts w:ascii="仿宋_GB2312" w:hAnsi="仿宋_GB2312" w:cs="仿宋_GB2312" w:eastAsia="仿宋_GB2312"/>
                <w:sz w:val="21"/>
              </w:rPr>
              <w:t>▲</w:t>
            </w:r>
            <w:r>
              <w:rPr>
                <w:rFonts w:ascii="仿宋_GB2312" w:hAnsi="仿宋_GB2312" w:cs="仿宋_GB2312" w:eastAsia="仿宋_GB2312"/>
              </w:rPr>
              <w:t>悬挂装置型式：后置、三点悬挂；</w:t>
            </w:r>
            <w:r>
              <w:br/>
            </w:r>
            <w:r>
              <w:rPr>
                <w:rFonts w:ascii="仿宋_GB2312" w:hAnsi="仿宋_GB2312" w:cs="仿宋_GB2312" w:eastAsia="仿宋_GB2312"/>
                <w:sz w:val="21"/>
              </w:rPr>
              <w:t>▲</w:t>
            </w:r>
            <w:r>
              <w:rPr>
                <w:rFonts w:ascii="仿宋_GB2312" w:hAnsi="仿宋_GB2312" w:cs="仿宋_GB2312" w:eastAsia="仿宋_GB2312"/>
              </w:rPr>
              <w:t>动力输出轴花键数目：8；</w:t>
            </w:r>
            <w:r>
              <w:br/>
            </w:r>
            <w:r>
              <w:rPr>
                <w:rFonts w:ascii="仿宋_GB2312" w:hAnsi="仿宋_GB2312" w:cs="仿宋_GB2312" w:eastAsia="仿宋_GB2312"/>
                <w:sz w:val="21"/>
              </w:rPr>
              <w:t>▲</w:t>
            </w:r>
            <w:r>
              <w:rPr>
                <w:rFonts w:ascii="仿宋_GB2312" w:hAnsi="仿宋_GB2312" w:cs="仿宋_GB2312" w:eastAsia="仿宋_GB2312"/>
              </w:rPr>
              <w:t>动力输出轴标准转速r/min：540/760；</w:t>
            </w:r>
            <w:r>
              <w:br/>
            </w:r>
            <w:r>
              <w:rPr>
                <w:rFonts w:ascii="仿宋_GB2312" w:hAnsi="仿宋_GB2312" w:cs="仿宋_GB2312" w:eastAsia="仿宋_GB2312"/>
              </w:rPr>
              <w:t xml:space="preserve"> 驾驶室类型：封闭式空调驾驶室；</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旋耕机：1台</w:t>
            </w:r>
          </w:p>
          <w:p>
            <w:pPr>
              <w:pStyle w:val="null3"/>
            </w:pPr>
            <w:r>
              <w:rPr>
                <w:rFonts w:ascii="仿宋_GB2312" w:hAnsi="仿宋_GB2312" w:cs="仿宋_GB2312" w:eastAsia="仿宋_GB2312"/>
              </w:rPr>
              <w:t>结构型式:框架型；</w:t>
            </w:r>
            <w:r>
              <w:br/>
            </w:r>
            <w:r>
              <w:rPr>
                <w:rFonts w:ascii="仿宋_GB2312" w:hAnsi="仿宋_GB2312" w:cs="仿宋_GB2312" w:eastAsia="仿宋_GB2312"/>
                <w:sz w:val="21"/>
              </w:rPr>
              <w:t>▲</w:t>
            </w:r>
            <w:r>
              <w:rPr>
                <w:rFonts w:ascii="仿宋_GB2312" w:hAnsi="仿宋_GB2312" w:cs="仿宋_GB2312" w:eastAsia="仿宋_GB2312"/>
              </w:rPr>
              <w:t>作业速度范围m/s：0.5～1.0；</w:t>
            </w:r>
            <w:r>
              <w:br/>
            </w:r>
            <w:r>
              <w:rPr>
                <w:rFonts w:ascii="仿宋_GB2312" w:hAnsi="仿宋_GB2312" w:cs="仿宋_GB2312" w:eastAsia="仿宋_GB2312"/>
                <w:sz w:val="21"/>
              </w:rPr>
              <w:t>▲</w:t>
            </w:r>
            <w:r>
              <w:rPr>
                <w:rFonts w:ascii="仿宋_GB2312" w:hAnsi="仿宋_GB2312" w:cs="仿宋_GB2312" w:eastAsia="仿宋_GB2312"/>
              </w:rPr>
              <w:t>工作幅宽cm：≧200；</w:t>
            </w:r>
            <w:r>
              <w:br/>
            </w:r>
            <w:r>
              <w:rPr>
                <w:rFonts w:ascii="仿宋_GB2312" w:hAnsi="仿宋_GB2312" w:cs="仿宋_GB2312" w:eastAsia="仿宋_GB2312"/>
                <w:sz w:val="21"/>
              </w:rPr>
              <w:t>▲</w:t>
            </w:r>
            <w:r>
              <w:rPr>
                <w:rFonts w:ascii="仿宋_GB2312" w:hAnsi="仿宋_GB2312" w:cs="仿宋_GB2312" w:eastAsia="仿宋_GB2312"/>
              </w:rPr>
              <w:t>耕深cm：8～14；</w:t>
            </w:r>
            <w:r>
              <w:br/>
            </w:r>
            <w:r>
              <w:rPr>
                <w:rFonts w:ascii="仿宋_GB2312" w:hAnsi="仿宋_GB2312" w:cs="仿宋_GB2312" w:eastAsia="仿宋_GB2312"/>
              </w:rPr>
              <w:t xml:space="preserve"> 刀轴型式：单轴型；</w:t>
            </w:r>
            <w:r>
              <w:br/>
            </w:r>
            <w:r>
              <w:rPr>
                <w:rFonts w:ascii="仿宋_GB2312" w:hAnsi="仿宋_GB2312" w:cs="仿宋_GB2312" w:eastAsia="仿宋_GB2312"/>
                <w:sz w:val="21"/>
              </w:rPr>
              <w:t>▲</w:t>
            </w:r>
            <w:r>
              <w:rPr>
                <w:rFonts w:ascii="仿宋_GB2312" w:hAnsi="仿宋_GB2312" w:cs="仿宋_GB2312" w:eastAsia="仿宋_GB2312"/>
              </w:rPr>
              <w:t>传动型式：中间传动；</w:t>
            </w:r>
            <w:r>
              <w:br/>
            </w:r>
            <w:r>
              <w:rPr>
                <w:rFonts w:ascii="仿宋_GB2312" w:hAnsi="仿宋_GB2312" w:cs="仿宋_GB2312" w:eastAsia="仿宋_GB2312"/>
                <w:sz w:val="21"/>
              </w:rPr>
              <w:t>▲</w:t>
            </w:r>
            <w:r>
              <w:rPr>
                <w:rFonts w:ascii="仿宋_GB2312" w:hAnsi="仿宋_GB2312" w:cs="仿宋_GB2312" w:eastAsia="仿宋_GB2312"/>
              </w:rPr>
              <w:t>刀辊设计转速r/min：≧280；</w:t>
            </w:r>
            <w:r>
              <w:br/>
            </w:r>
            <w:r>
              <w:rPr>
                <w:rFonts w:ascii="仿宋_GB2312" w:hAnsi="仿宋_GB2312" w:cs="仿宋_GB2312" w:eastAsia="仿宋_GB2312"/>
                <w:sz w:val="21"/>
              </w:rPr>
              <w:t>★</w:t>
            </w:r>
            <w:r>
              <w:rPr>
                <w:rFonts w:ascii="仿宋_GB2312" w:hAnsi="仿宋_GB2312" w:cs="仿宋_GB2312" w:eastAsia="仿宋_GB2312"/>
              </w:rPr>
              <w:t>刀辊总安装刀数≧60把；</w:t>
            </w:r>
            <w:r>
              <w:br/>
            </w:r>
            <w:r>
              <w:rPr>
                <w:rFonts w:ascii="仿宋_GB2312" w:hAnsi="仿宋_GB2312" w:cs="仿宋_GB2312" w:eastAsia="仿宋_GB2312"/>
              </w:rPr>
              <w:t xml:space="preserve"> 限深装置型式：限深板；</w:t>
            </w:r>
            <w:r>
              <w:br/>
            </w:r>
            <w:r>
              <w:rPr>
                <w:rFonts w:ascii="仿宋_GB2312" w:hAnsi="仿宋_GB2312" w:cs="仿宋_GB2312" w:eastAsia="仿宋_GB2312"/>
                <w:sz w:val="21"/>
              </w:rPr>
              <w:t>▲</w:t>
            </w:r>
            <w:r>
              <w:rPr>
                <w:rFonts w:ascii="仿宋_GB2312" w:hAnsi="仿宋_GB2312" w:cs="仿宋_GB2312" w:eastAsia="仿宋_GB2312"/>
              </w:rPr>
              <w:t>配套拖拉机动力输出轴转速r/min：760；</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预付款，合同签订后，达到付款条件起14个工作日内，支付合同总金额的30.0%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进度款，验收合格后，达到付款条件起14个工作日内，支付合同总金额的70.0%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签字盖章是否完整</w:t>
            </w:r>
          </w:p>
        </w:tc>
        <w:tc>
          <w:tcPr>
            <w:tcW w:type="dxa" w:w="3322"/>
          </w:tcPr>
          <w:p>
            <w:pPr>
              <w:pStyle w:val="null3"/>
            </w:pPr>
            <w:r>
              <w:rPr>
                <w:rFonts w:ascii="仿宋_GB2312" w:hAnsi="仿宋_GB2312" w:cs="仿宋_GB2312" w:eastAsia="仿宋_GB2312"/>
              </w:rPr>
              <w:t>供应商应对响应⽂件进⾏电⼦签章，并在规定地点签字。</w:t>
            </w:r>
          </w:p>
        </w:tc>
        <w:tc>
          <w:tcPr>
            <w:tcW w:type="dxa" w:w="1661"/>
          </w:tcPr>
          <w:p>
            <w:pPr>
              <w:pStyle w:val="null3"/>
            </w:pPr>
            <w:r>
              <w:rPr>
                <w:rFonts w:ascii="仿宋_GB2312" w:hAnsi="仿宋_GB2312" w:cs="仿宋_GB2312" w:eastAsia="仿宋_GB2312"/>
              </w:rPr>
              <w:t>类似项目业绩一览表.docx 中小企业声明函 商务应答表 报价表 响应文件封面 产品技术参数表 供应商应提交的相关资格证明材料.docx 残疾人福利性单位声明函 标的清单 关于符合本国产品标准的声明函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符合“3.3技术要求”中，标★项技术参数要求，不得出现负偏离，未提供相关印证资料视为未响应本次磋商。</w:t>
            </w:r>
          </w:p>
        </w:tc>
        <w:tc>
          <w:tcPr>
            <w:tcW w:type="dxa" w:w="1661"/>
          </w:tcPr>
          <w:p>
            <w:pPr>
              <w:pStyle w:val="null3"/>
            </w:pPr>
            <w:r>
              <w:rPr>
                <w:rFonts w:ascii="仿宋_GB2312" w:hAnsi="仿宋_GB2312" w:cs="仿宋_GB2312" w:eastAsia="仿宋_GB2312"/>
              </w:rPr>
              <w:t>产品技术参数表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依据招标文件技术参数对投标人响应内容逐项开展评审：标注★为实质性条款，不满足直接判定无效投标；本技术评审分项满分40分，▲重要条款、无标识普通条款出现未响应、达不到技术标准、负偏离均予以扣分，技术正偏离不给予加分。 （1）实质性条款（★）：本项目设置3项★实质性条款，未完全响应要求的，投标文件按无效投标处理； （2）标注（▲）重要技术条款共22项，分值33分，每有1项未响应、不满足或负偏离扣1.5分，扣至0分为止； （3）无标识普通技术条款，分值7分，每有1项未响应、不满足或负偏离扣1分，扣至0分为止； 注：投标人须在技术偏离表对全部技术参数逐项填报响应说明；★实质性条款、▲重要条款须附上对应佐证材料（包括但不限于检测报告、技术白皮书、厂家产品说明资料等）并标注材料页码，普通条款仅需在表格中作出响应，无需另行提供佐证材料。</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评审内容：投标人或拟供产品制造厂商提供2023年1月1日至今类似项目业绩。 赋分标准： 每提供1份得3分，最高得6分。无此项内容不得分。（注：业绩证明材料以中标（成交）通知书或合同协议书为准，投标文件中附中标（成交）通知书或合同协议书扫描件。）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vMerge/>
          </w:tcPr>
          <w:p/>
        </w:tc>
        <w:tc>
          <w:tcPr>
            <w:tcW w:type="dxa" w:w="1661"/>
          </w:tcPr>
          <w:p>
            <w:pPr>
              <w:pStyle w:val="null3"/>
            </w:pPr>
            <w:r>
              <w:rPr>
                <w:rFonts w:ascii="仿宋_GB2312" w:hAnsi="仿宋_GB2312" w:cs="仿宋_GB2312" w:eastAsia="仿宋_GB2312"/>
              </w:rPr>
              <w:t>应急保障承诺</w:t>
            </w:r>
          </w:p>
        </w:tc>
        <w:tc>
          <w:tcPr>
            <w:tcW w:type="dxa" w:w="2492"/>
          </w:tcPr>
          <w:p>
            <w:pPr>
              <w:pStyle w:val="null3"/>
            </w:pPr>
            <w:r>
              <w:rPr>
                <w:rFonts w:ascii="仿宋_GB2312" w:hAnsi="仿宋_GB2312" w:cs="仿宋_GB2312" w:eastAsia="仿宋_GB2312"/>
              </w:rPr>
              <w:t>投标人须出具加盖单位公章的书面应急保障承诺，承诺完整覆盖以下 3 项内容，各项独立计分： 1、承诺建立项目专属应急组织架构、配备 24 小时应急联络人并明确全流程分级响应机制，得2分； 2、承诺针对原厂配件短缺、物流延期供货、设备参数不符、偷工减料问题制定处置方案及赔付保障条款，得2分； 注：须附上对应有效承诺书，承诺内容不全、未提交承诺书的，该项不予计分。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 针对本项目提供完整、合理、详细的服务方案，方案包含：①项目整体目标；②供货进度计划；③安装运输调试方案；④供货人员配备；⑤物流保障措施。 评审标准 、完整性：方案内容完整全面，对上述各项内容均有描述及说明；可操作性：实施流程清晰，质量控制、应急等措施切实可行，可直接落地； 针对性：契合本项目长效运行的专属实施要求。 赋分标准（满分 10 分） 评审内容共计五项，方案内容详实完整、逻辑清晰、贴合项目实际、全面满足采购要求的，得 10 分。每缺失一项内容扣 2分，每项内容存在 1 处缺陷扣 0.5分，扣完即止。 未提供本项目实施方案不得分。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评审内容 本项目质量保障方案需满足本项目设备供货、系统调试、试运行、验收全流程质量管控需求。根据投标人提供的质量保障专项方案进行评审，内容包含但不限于：①设备出厂及到货质检管控措施；②设备组装调试、系统匹配精度控制措施；③全流程质量追溯与整改机制。 评审标准 完整性：涵盖全部三项质量管控模块，内容完整详实，关键质控环节无遗漏； 可操作性：质量管控流程清晰，检验手段、管控节点、责任机制切实可行； 针对性：契合本项目系统集成、配套设施布设的专项质量管控要求。 赋分标准（满分 6 分） 评审内容共计三项，方案内容详实完整、逻辑清晰、贴合项目实际、全面满足采购要求的，得 2 分。每缺失一项内容扣 2 分，每项内容存在 1 处缺陷扣 0.5 分，扣完即止。 未提供本质量保障方案不得分。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评审内容 针对本项目实际情况提出切实可行的培训计划，应包括：①人员培训计划；②培训目标及效果。 评审标准： 1、完整性:方案内容完整全面，对上述两项内容均有描述及说明 2、针对性：针对性强， 3、可实施性:可实施性强。 赋分标准（满分 4 分） 评审内容共计两项，方案内容详实完整、逻辑清晰、贴合项目实际、全面满足采购要求的，得 4 分。每缺失一项内容扣 2 分，每项内容存在 1 处缺陷扣 0.5 分，扣完即止。 未提供本项目培训计划不得分。 注：缺陷是指该项方案已有内容，但内容过于简单、不完善、前后表述不一致、套用其他项目计划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