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142E7C">
      <w:pPr>
        <w:jc w:val="center"/>
        <w:rPr>
          <w:rFonts w:hint="eastAsia" w:ascii="宋体" w:hAnsi="宋体" w:cs="宋体"/>
          <w:b/>
          <w:bCs/>
          <w:color w:val="auto"/>
          <w:kern w:val="0"/>
          <w:sz w:val="30"/>
          <w:szCs w:val="30"/>
          <w:u w:val="none"/>
          <w:shd w:val="clear" w:color="auto" w:fill="FFFFFF"/>
          <w:lang w:val="en-US" w:eastAsia="zh-CN" w:bidi="ar-SA"/>
        </w:rPr>
      </w:pPr>
      <w:r>
        <w:rPr>
          <w:rFonts w:hint="eastAsia" w:ascii="宋体" w:hAnsi="宋体" w:cs="宋体"/>
          <w:b/>
          <w:bCs/>
          <w:color w:val="auto"/>
          <w:kern w:val="0"/>
          <w:sz w:val="30"/>
          <w:szCs w:val="30"/>
          <w:u w:val="none"/>
          <w:shd w:val="clear" w:color="auto" w:fill="FFFFFF"/>
          <w:lang w:val="en-US" w:eastAsia="zh-CN" w:bidi="ar-SA"/>
        </w:rPr>
        <w:t>丈八北路储备地项目考古发掘项目采购需求</w:t>
      </w:r>
    </w:p>
    <w:p w14:paraId="67E5B65D">
      <w:pPr>
        <w:pStyle w:val="4"/>
        <w:spacing w:line="360" w:lineRule="auto"/>
        <w:jc w:val="both"/>
        <w:outlineLvl w:val="2"/>
        <w:rPr>
          <w:rFonts w:hint="eastAsia" w:ascii="宋体" w:hAnsi="宋体" w:eastAsia="宋体" w:cs="宋体"/>
          <w:color w:val="auto"/>
          <w:kern w:val="0"/>
          <w:sz w:val="24"/>
          <w:szCs w:val="24"/>
          <w:u w:val="none"/>
          <w:shd w:val="clear" w:color="auto" w:fill="FFFFFF"/>
          <w:lang w:val="en-US" w:eastAsia="zh-CN" w:bidi="ar-SA"/>
        </w:rPr>
      </w:pPr>
      <w:bookmarkStart w:id="0" w:name="_GoBack"/>
      <w:r>
        <w:rPr>
          <w:rFonts w:hint="eastAsia" w:ascii="宋体" w:hAnsi="宋体" w:cs="宋体"/>
          <w:color w:val="auto"/>
          <w:kern w:val="0"/>
          <w:sz w:val="24"/>
          <w:szCs w:val="24"/>
          <w:u w:val="none"/>
          <w:shd w:val="clear" w:color="auto" w:fill="FFFFFF"/>
          <w:lang w:val="en-US" w:eastAsia="zh-CN" w:bidi="ar-SA"/>
        </w:rPr>
        <w:t>一、</w:t>
      </w:r>
      <w:r>
        <w:rPr>
          <w:rFonts w:hint="eastAsia" w:ascii="宋体" w:hAnsi="宋体" w:eastAsia="宋体" w:cs="宋体"/>
          <w:color w:val="auto"/>
          <w:kern w:val="0"/>
          <w:sz w:val="24"/>
          <w:szCs w:val="24"/>
          <w:u w:val="none"/>
          <w:shd w:val="clear" w:color="auto" w:fill="FFFFFF"/>
          <w:lang w:val="en-US" w:eastAsia="zh-CN" w:bidi="ar-SA"/>
        </w:rPr>
        <w:t>项目概况：</w:t>
      </w:r>
    </w:p>
    <w:p w14:paraId="01A94FAE">
      <w:pPr>
        <w:pStyle w:val="4"/>
        <w:spacing w:line="360" w:lineRule="auto"/>
        <w:ind w:firstLine="480" w:firstLineChars="200"/>
        <w:jc w:val="both"/>
        <w:outlineLvl w:val="2"/>
        <w:rPr>
          <w:rFonts w:hint="eastAsia" w:ascii="宋体" w:hAnsi="宋体" w:eastAsia="宋体" w:cs="宋体"/>
          <w:color w:val="auto"/>
          <w:kern w:val="0"/>
          <w:sz w:val="24"/>
          <w:szCs w:val="24"/>
          <w:u w:val="none"/>
          <w:shd w:val="clear" w:color="auto" w:fill="FFFFFF"/>
          <w:lang w:val="en-US" w:eastAsia="zh-CN" w:bidi="ar-SA"/>
        </w:rPr>
      </w:pPr>
      <w:r>
        <w:rPr>
          <w:rFonts w:hint="eastAsia" w:ascii="宋体" w:hAnsi="宋体" w:eastAsia="宋体" w:cs="宋体"/>
          <w:color w:val="auto"/>
          <w:kern w:val="0"/>
          <w:sz w:val="24"/>
          <w:szCs w:val="24"/>
          <w:u w:val="none"/>
          <w:shd w:val="clear" w:color="auto" w:fill="FFFFFF"/>
          <w:lang w:val="en-US" w:eastAsia="zh-CN" w:bidi="ar-SA"/>
        </w:rPr>
        <w:t>西安市自然资源和规划局莲湖分局土地储备中心丈八北路储备地项目位于西安市科技路以北、丈八北路以西、南风日化厂以南，16.4亩的绿地与代征道路。经勘探，发现</w:t>
      </w:r>
      <w:r>
        <w:rPr>
          <w:rFonts w:hint="eastAsia" w:ascii="宋体" w:hAnsi="宋体" w:cs="宋体"/>
          <w:color w:val="auto"/>
          <w:kern w:val="0"/>
          <w:sz w:val="24"/>
          <w:szCs w:val="24"/>
          <w:u w:val="none"/>
          <w:shd w:val="clear" w:color="auto" w:fill="FFFFFF"/>
          <w:lang w:val="en-US" w:eastAsia="zh-CN" w:bidi="ar-SA"/>
        </w:rPr>
        <w:t>34</w:t>
      </w:r>
      <w:r>
        <w:rPr>
          <w:rFonts w:hint="eastAsia" w:ascii="宋体" w:hAnsi="宋体" w:eastAsia="宋体" w:cs="宋体"/>
          <w:color w:val="auto"/>
          <w:kern w:val="0"/>
          <w:sz w:val="24"/>
          <w:szCs w:val="24"/>
          <w:u w:val="none"/>
          <w:shd w:val="clear" w:color="auto" w:fill="FFFFFF"/>
          <w:lang w:val="en-US" w:eastAsia="zh-CN" w:bidi="ar-SA"/>
        </w:rPr>
        <w:t>处遗迹现象包括墓</w:t>
      </w:r>
      <w:r>
        <w:rPr>
          <w:rFonts w:hint="eastAsia" w:ascii="宋体" w:hAnsi="宋体" w:eastAsia="宋体" w:cs="宋体"/>
          <w:color w:val="auto"/>
          <w:kern w:val="0"/>
          <w:sz w:val="24"/>
          <w:szCs w:val="24"/>
          <w:highlight w:val="none"/>
          <w:u w:val="none"/>
          <w:shd w:val="clear" w:color="auto" w:fill="FFFFFF"/>
          <w:lang w:val="en-US" w:eastAsia="zh-CN" w:bidi="ar-SA"/>
        </w:rPr>
        <w:t>葬</w:t>
      </w:r>
      <w:r>
        <w:rPr>
          <w:rFonts w:hint="eastAsia" w:ascii="宋体" w:hAnsi="宋体" w:cs="宋体"/>
          <w:color w:val="auto"/>
          <w:kern w:val="0"/>
          <w:sz w:val="24"/>
          <w:szCs w:val="24"/>
          <w:highlight w:val="none"/>
          <w:u w:val="none"/>
          <w:shd w:val="clear" w:color="auto" w:fill="FFFFFF"/>
          <w:lang w:val="en-US" w:eastAsia="zh-CN" w:bidi="ar-SA"/>
        </w:rPr>
        <w:t>21</w:t>
      </w:r>
      <w:r>
        <w:rPr>
          <w:rFonts w:hint="eastAsia" w:ascii="宋体" w:hAnsi="宋体" w:eastAsia="宋体" w:cs="宋体"/>
          <w:color w:val="auto"/>
          <w:kern w:val="0"/>
          <w:sz w:val="24"/>
          <w:szCs w:val="24"/>
          <w:highlight w:val="none"/>
          <w:u w:val="none"/>
          <w:shd w:val="clear" w:color="auto" w:fill="FFFFFF"/>
          <w:lang w:val="en-US" w:eastAsia="zh-CN" w:bidi="ar-SA"/>
        </w:rPr>
        <w:t>座、灰坑12处、古沟1条。拟对该地块进行</w:t>
      </w:r>
      <w:r>
        <w:rPr>
          <w:rFonts w:hint="eastAsia" w:ascii="宋体" w:hAnsi="宋体" w:cs="宋体"/>
          <w:color w:val="auto"/>
          <w:kern w:val="0"/>
          <w:sz w:val="24"/>
          <w:szCs w:val="24"/>
          <w:highlight w:val="none"/>
          <w:u w:val="none"/>
          <w:shd w:val="clear" w:color="auto" w:fill="FFFFFF"/>
          <w:lang w:val="en-US" w:eastAsia="zh-CN" w:bidi="ar-SA"/>
        </w:rPr>
        <w:t>考古</w:t>
      </w:r>
      <w:r>
        <w:rPr>
          <w:rFonts w:hint="eastAsia" w:ascii="宋体" w:hAnsi="宋体" w:eastAsia="宋体" w:cs="宋体"/>
          <w:color w:val="auto"/>
          <w:kern w:val="0"/>
          <w:sz w:val="24"/>
          <w:szCs w:val="24"/>
          <w:highlight w:val="none"/>
          <w:u w:val="none"/>
          <w:shd w:val="clear" w:color="auto" w:fill="FFFFFF"/>
          <w:lang w:val="en-US" w:eastAsia="zh-CN" w:bidi="ar-SA"/>
        </w:rPr>
        <w:t>发掘，需配合进行二次清表、考古发掘</w:t>
      </w:r>
      <w:r>
        <w:rPr>
          <w:rFonts w:hint="eastAsia" w:ascii="宋体" w:hAnsi="宋体" w:eastAsia="宋体" w:cs="宋体"/>
          <w:color w:val="auto"/>
          <w:kern w:val="0"/>
          <w:sz w:val="24"/>
          <w:szCs w:val="24"/>
          <w:u w:val="none"/>
          <w:shd w:val="clear" w:color="auto" w:fill="FFFFFF"/>
          <w:lang w:val="en-US" w:eastAsia="zh-CN" w:bidi="ar-SA"/>
        </w:rPr>
        <w:t>劳务工作。</w:t>
      </w:r>
    </w:p>
    <w:p w14:paraId="78970A85">
      <w:pPr>
        <w:pStyle w:val="4"/>
        <w:numPr>
          <w:ilvl w:val="0"/>
          <w:numId w:val="1"/>
        </w:numPr>
        <w:spacing w:line="360" w:lineRule="auto"/>
        <w:jc w:val="both"/>
        <w:outlineLvl w:val="2"/>
        <w:rPr>
          <w:rFonts w:hint="eastAsia" w:ascii="宋体" w:hAnsi="宋体" w:cs="宋体"/>
          <w:color w:val="auto"/>
          <w:kern w:val="0"/>
          <w:sz w:val="24"/>
          <w:szCs w:val="24"/>
          <w:u w:val="none"/>
          <w:shd w:val="clear" w:color="auto" w:fill="FFFFFF"/>
          <w:lang w:val="en-US" w:eastAsia="zh-CN" w:bidi="ar-SA"/>
        </w:rPr>
      </w:pPr>
      <w:r>
        <w:rPr>
          <w:rFonts w:hint="eastAsia" w:ascii="宋体" w:hAnsi="宋体" w:cs="宋体"/>
          <w:color w:val="auto"/>
          <w:kern w:val="0"/>
          <w:sz w:val="24"/>
          <w:szCs w:val="24"/>
          <w:u w:val="none"/>
          <w:shd w:val="clear" w:color="auto" w:fill="FFFFFF"/>
          <w:lang w:val="en-US" w:eastAsia="zh-CN" w:bidi="ar-SA"/>
        </w:rPr>
        <w:t>项目要求</w:t>
      </w:r>
    </w:p>
    <w:p w14:paraId="34888E0E">
      <w:pPr>
        <w:spacing w:line="360" w:lineRule="auto"/>
        <w:rPr>
          <w:rFonts w:hint="eastAsia" w:ascii="宋体" w:hAnsi="宋体" w:cs="宋体"/>
          <w:color w:val="auto"/>
          <w:kern w:val="0"/>
          <w:sz w:val="24"/>
          <w:szCs w:val="24"/>
          <w:u w:val="none"/>
          <w:shd w:val="clear" w:color="auto" w:fill="FFFFFF"/>
          <w:lang w:val="en-US" w:eastAsia="zh-CN" w:bidi="ar-SA"/>
        </w:rPr>
      </w:pPr>
      <w:r>
        <w:rPr>
          <w:rFonts w:hint="eastAsia" w:ascii="宋体" w:hAnsi="宋体" w:cs="宋体"/>
          <w:color w:val="auto"/>
          <w:kern w:val="0"/>
          <w:sz w:val="24"/>
          <w:szCs w:val="24"/>
          <w:u w:val="none"/>
          <w:shd w:val="clear" w:color="auto" w:fill="FFFFFF"/>
          <w:lang w:val="en-US" w:eastAsia="zh-CN" w:bidi="ar-SA"/>
        </w:rPr>
        <w:t>采购包1：</w:t>
      </w:r>
    </w:p>
    <w:p w14:paraId="1C784E82">
      <w:pPr>
        <w:spacing w:line="360" w:lineRule="auto"/>
        <w:ind w:firstLine="480" w:firstLineChars="200"/>
        <w:rPr>
          <w:rFonts w:hint="eastAsia" w:ascii="宋体" w:hAnsi="宋体" w:cs="宋体"/>
          <w:b w:val="0"/>
          <w:bCs w:val="0"/>
          <w:color w:val="auto"/>
          <w:sz w:val="24"/>
          <w:u w:val="none"/>
          <w:lang w:val="en-US" w:eastAsia="zh-TW"/>
        </w:rPr>
      </w:pPr>
      <w:r>
        <w:rPr>
          <w:rFonts w:hint="eastAsia" w:ascii="宋体" w:hAnsi="宋体" w:cs="宋体"/>
          <w:b w:val="0"/>
          <w:bCs w:val="0"/>
          <w:color w:val="auto"/>
          <w:sz w:val="24"/>
          <w:u w:val="none"/>
          <w:lang w:val="en-US" w:eastAsia="zh-TW"/>
        </w:rPr>
        <w:t xml:space="preserve">1.服从考古发掘技术服务单位及甲方人员管理，自觉遵守甲方的有关规章制度； </w:t>
      </w:r>
    </w:p>
    <w:p w14:paraId="6942A17D">
      <w:pPr>
        <w:spacing w:line="360" w:lineRule="auto"/>
        <w:ind w:firstLine="480" w:firstLineChars="200"/>
        <w:rPr>
          <w:rFonts w:hint="eastAsia" w:ascii="宋体" w:hAnsi="宋体" w:cs="宋体"/>
          <w:b w:val="0"/>
          <w:bCs w:val="0"/>
          <w:color w:val="auto"/>
          <w:sz w:val="24"/>
          <w:u w:val="none"/>
          <w:lang w:val="en-US" w:eastAsia="zh-TW"/>
        </w:rPr>
      </w:pPr>
      <w:r>
        <w:rPr>
          <w:rFonts w:hint="eastAsia" w:ascii="宋体" w:hAnsi="宋体" w:cs="宋体"/>
          <w:b w:val="0"/>
          <w:bCs w:val="0"/>
          <w:color w:val="auto"/>
          <w:sz w:val="24"/>
          <w:u w:val="none"/>
          <w:lang w:val="en-US" w:eastAsia="zh-TW"/>
        </w:rPr>
        <w:t xml:space="preserve">2.严格遵守安全生产、文明施工及考古相关规范，承担配合考古技术发掘作业过程中的所有安全责任，严格执行政府有关部门的政策及法规； </w:t>
      </w:r>
    </w:p>
    <w:p w14:paraId="57879371">
      <w:pPr>
        <w:spacing w:line="360" w:lineRule="auto"/>
        <w:ind w:firstLine="480" w:firstLineChars="200"/>
        <w:rPr>
          <w:rFonts w:hint="eastAsia" w:ascii="宋体" w:hAnsi="宋体" w:cs="宋体"/>
          <w:b w:val="0"/>
          <w:bCs w:val="0"/>
          <w:color w:val="auto"/>
          <w:sz w:val="24"/>
          <w:u w:val="none"/>
          <w:lang w:val="en-US" w:eastAsia="zh-TW"/>
        </w:rPr>
      </w:pPr>
      <w:r>
        <w:rPr>
          <w:rFonts w:hint="eastAsia" w:ascii="宋体" w:hAnsi="宋体" w:cs="宋体"/>
          <w:b w:val="0"/>
          <w:bCs w:val="0"/>
          <w:color w:val="auto"/>
          <w:sz w:val="24"/>
          <w:u w:val="none"/>
          <w:lang w:val="en-US" w:eastAsia="zh-TW"/>
        </w:rPr>
        <w:t>3.负责考古勘探报告范围内</w:t>
      </w:r>
      <w:r>
        <w:rPr>
          <w:rFonts w:hint="eastAsia" w:ascii="宋体" w:hAnsi="宋体" w:cs="宋体"/>
          <w:b w:val="0"/>
          <w:bCs w:val="0"/>
          <w:color w:val="auto"/>
          <w:sz w:val="24"/>
          <w:u w:val="none"/>
          <w:lang w:val="en-US" w:eastAsia="zh-CN"/>
        </w:rPr>
        <w:t>考古发掘</w:t>
      </w:r>
      <w:r>
        <w:rPr>
          <w:rFonts w:hint="eastAsia" w:ascii="宋体" w:hAnsi="宋体" w:cs="宋体"/>
          <w:b w:val="0"/>
          <w:bCs w:val="0"/>
          <w:color w:val="auto"/>
          <w:sz w:val="24"/>
          <w:u w:val="none"/>
          <w:lang w:val="en-US" w:eastAsia="zh-TW"/>
        </w:rPr>
        <w:t>的二次清表。</w:t>
      </w:r>
    </w:p>
    <w:p w14:paraId="10A09D86">
      <w:pPr>
        <w:spacing w:line="360" w:lineRule="auto"/>
        <w:rPr>
          <w:rFonts w:hint="eastAsia" w:ascii="宋体" w:hAnsi="宋体" w:cs="宋体"/>
          <w:color w:val="auto"/>
          <w:kern w:val="0"/>
          <w:sz w:val="24"/>
          <w:szCs w:val="24"/>
          <w:u w:val="none"/>
          <w:shd w:val="clear" w:color="auto" w:fill="FFFFFF"/>
          <w:lang w:val="en-US" w:eastAsia="zh-CN" w:bidi="ar-SA"/>
        </w:rPr>
      </w:pPr>
      <w:r>
        <w:rPr>
          <w:rFonts w:hint="eastAsia" w:ascii="宋体" w:hAnsi="宋体" w:cs="宋体"/>
          <w:color w:val="auto"/>
          <w:kern w:val="0"/>
          <w:sz w:val="24"/>
          <w:szCs w:val="24"/>
          <w:u w:val="none"/>
          <w:shd w:val="clear" w:color="auto" w:fill="FFFFFF"/>
          <w:lang w:val="en-US" w:eastAsia="zh-CN" w:bidi="ar-SA"/>
        </w:rPr>
        <w:t>采购包2：</w:t>
      </w:r>
    </w:p>
    <w:p w14:paraId="13D82F83">
      <w:pPr>
        <w:spacing w:line="360" w:lineRule="auto"/>
        <w:ind w:firstLine="480" w:firstLineChars="200"/>
        <w:rPr>
          <w:rFonts w:hint="eastAsia" w:ascii="宋体" w:hAnsi="宋体" w:cs="宋体"/>
          <w:b w:val="0"/>
          <w:bCs w:val="0"/>
          <w:color w:val="auto"/>
          <w:sz w:val="24"/>
          <w:u w:val="none"/>
          <w:lang w:val="en-US" w:eastAsia="zh-TW"/>
        </w:rPr>
      </w:pPr>
      <w:r>
        <w:rPr>
          <w:rFonts w:hint="eastAsia" w:ascii="宋体" w:hAnsi="宋体" w:cs="宋体"/>
          <w:b w:val="0"/>
          <w:bCs w:val="0"/>
          <w:color w:val="auto"/>
          <w:sz w:val="24"/>
          <w:u w:val="none"/>
          <w:lang w:val="en-US" w:eastAsia="zh-TW"/>
        </w:rPr>
        <w:t xml:space="preserve">1.服从考古发掘技术服务单位及甲方人员管理，自觉遵守甲方的有关规章制度； </w:t>
      </w:r>
    </w:p>
    <w:p w14:paraId="60F00759">
      <w:pPr>
        <w:spacing w:line="360" w:lineRule="auto"/>
        <w:ind w:firstLine="480" w:firstLineChars="200"/>
        <w:rPr>
          <w:rFonts w:hint="eastAsia" w:ascii="宋体" w:hAnsi="宋体" w:cs="宋体"/>
          <w:b w:val="0"/>
          <w:bCs w:val="0"/>
          <w:color w:val="auto"/>
          <w:sz w:val="24"/>
          <w:u w:val="none"/>
          <w:lang w:val="en-US" w:eastAsia="zh-TW"/>
        </w:rPr>
      </w:pPr>
      <w:r>
        <w:rPr>
          <w:rFonts w:hint="eastAsia" w:ascii="宋体" w:hAnsi="宋体" w:cs="宋体"/>
          <w:b w:val="0"/>
          <w:bCs w:val="0"/>
          <w:color w:val="auto"/>
          <w:sz w:val="24"/>
          <w:u w:val="none"/>
          <w:lang w:val="en-US" w:eastAsia="zh-TW"/>
        </w:rPr>
        <w:t xml:space="preserve">2.严格遵守安全生产、文明施工及考古相关规范，承担配合考古技术发掘作业过程中的所有安全责任，严格执行政府有关部门的政策及法规； </w:t>
      </w:r>
    </w:p>
    <w:p w14:paraId="14E262AD">
      <w:pPr>
        <w:spacing w:line="360" w:lineRule="auto"/>
        <w:ind w:firstLine="480" w:firstLineChars="200"/>
        <w:rPr>
          <w:rFonts w:hint="eastAsia" w:ascii="宋体" w:hAnsi="宋体" w:cs="宋体"/>
          <w:b w:val="0"/>
          <w:bCs w:val="0"/>
          <w:color w:val="auto"/>
          <w:sz w:val="24"/>
          <w:u w:val="none"/>
          <w:lang w:val="en-US" w:eastAsia="zh-TW"/>
        </w:rPr>
      </w:pPr>
      <w:r>
        <w:rPr>
          <w:rFonts w:hint="eastAsia" w:ascii="宋体" w:hAnsi="宋体" w:cs="宋体"/>
          <w:b w:val="0"/>
          <w:bCs w:val="0"/>
          <w:color w:val="auto"/>
          <w:sz w:val="24"/>
          <w:u w:val="none"/>
          <w:lang w:val="en-US" w:eastAsia="zh-TW"/>
        </w:rPr>
        <w:t xml:space="preserve">3.严格按照考古发掘技术服务单位要求进行现场作业及配合工作； </w:t>
      </w:r>
    </w:p>
    <w:p w14:paraId="42ADFE64">
      <w:pPr>
        <w:spacing w:line="360" w:lineRule="auto"/>
        <w:ind w:firstLine="480" w:firstLineChars="200"/>
        <w:rPr>
          <w:rFonts w:hint="eastAsia" w:ascii="宋体" w:hAnsi="宋体" w:cs="宋体"/>
          <w:b w:val="0"/>
          <w:bCs w:val="0"/>
          <w:color w:val="auto"/>
          <w:sz w:val="24"/>
          <w:u w:val="none"/>
          <w:lang w:val="en-US" w:eastAsia="zh-TW"/>
        </w:rPr>
      </w:pPr>
      <w:r>
        <w:rPr>
          <w:rFonts w:hint="eastAsia" w:ascii="宋体" w:hAnsi="宋体" w:cs="宋体"/>
          <w:b w:val="0"/>
          <w:bCs w:val="0"/>
          <w:color w:val="auto"/>
          <w:sz w:val="24"/>
          <w:u w:val="none"/>
          <w:lang w:val="en-US" w:eastAsia="zh-TW"/>
        </w:rPr>
        <w:t xml:space="preserve">4.根据现场实际进度需要配备足够数量的人员，确保不影响考古发掘工作； </w:t>
      </w:r>
    </w:p>
    <w:p w14:paraId="36636625">
      <w:pPr>
        <w:spacing w:line="360" w:lineRule="auto"/>
        <w:ind w:firstLine="480" w:firstLineChars="200"/>
        <w:rPr>
          <w:rFonts w:hint="eastAsia" w:ascii="宋体" w:hAnsi="宋体" w:cs="宋体"/>
          <w:b w:val="0"/>
          <w:bCs w:val="0"/>
          <w:color w:val="auto"/>
          <w:sz w:val="24"/>
          <w:u w:val="none"/>
          <w:lang w:val="en-US" w:eastAsia="zh-TW"/>
        </w:rPr>
      </w:pPr>
      <w:r>
        <w:rPr>
          <w:rFonts w:hint="eastAsia" w:ascii="宋体" w:hAnsi="宋体" w:cs="宋体"/>
          <w:b w:val="0"/>
          <w:bCs w:val="0"/>
          <w:color w:val="auto"/>
          <w:sz w:val="24"/>
          <w:u w:val="none"/>
          <w:lang w:val="en-US" w:eastAsia="zh-TW"/>
        </w:rPr>
        <w:t xml:space="preserve">5.对发掘中可能存在安全隐患的部位（如：基坑、边坡、沟槽、通道等）进行支护、加固，确保施工、确保考古技术发掘过程中的人身安全并提供必要的保障措施及设施； </w:t>
      </w:r>
    </w:p>
    <w:p w14:paraId="722DFD15">
      <w:pPr>
        <w:spacing w:line="360" w:lineRule="auto"/>
        <w:ind w:firstLine="480" w:firstLineChars="200"/>
        <w:rPr>
          <w:rFonts w:hint="eastAsia" w:ascii="宋体" w:hAnsi="宋体" w:cs="宋体"/>
          <w:b w:val="0"/>
          <w:bCs w:val="0"/>
          <w:color w:val="auto"/>
          <w:sz w:val="24"/>
          <w:u w:val="none"/>
          <w:lang w:val="en-US" w:eastAsia="zh-TW"/>
        </w:rPr>
      </w:pPr>
      <w:r>
        <w:rPr>
          <w:rFonts w:hint="eastAsia" w:ascii="宋体" w:hAnsi="宋体" w:cs="宋体"/>
          <w:b w:val="0"/>
          <w:bCs w:val="0"/>
          <w:color w:val="auto"/>
          <w:sz w:val="24"/>
          <w:u w:val="none"/>
          <w:lang w:val="en-US" w:eastAsia="zh-TW"/>
        </w:rPr>
        <w:t xml:space="preserve">6.负责周边及现场协调工作，确保考古发掘正常进行； </w:t>
      </w:r>
    </w:p>
    <w:p w14:paraId="76E5D919">
      <w:pPr>
        <w:spacing w:line="360" w:lineRule="auto"/>
        <w:ind w:firstLine="480" w:firstLineChars="200"/>
        <w:rPr>
          <w:rFonts w:hint="eastAsia" w:ascii="宋体" w:hAnsi="宋体" w:cs="宋体"/>
          <w:b w:val="0"/>
          <w:bCs w:val="0"/>
          <w:color w:val="auto"/>
          <w:sz w:val="24"/>
          <w:u w:val="none"/>
          <w:lang w:val="en-US" w:eastAsia="zh-TW"/>
        </w:rPr>
      </w:pPr>
      <w:r>
        <w:rPr>
          <w:rFonts w:hint="eastAsia" w:ascii="宋体" w:hAnsi="宋体" w:cs="宋体"/>
          <w:b w:val="0"/>
          <w:bCs w:val="0"/>
          <w:color w:val="auto"/>
          <w:sz w:val="24"/>
          <w:u w:val="none"/>
          <w:lang w:val="en-US" w:eastAsia="zh-TW"/>
        </w:rPr>
        <w:t xml:space="preserve">5.对发掘中可能存在安全隐患的部位（如：基坑、边坡、沟槽、通道等）进行支护、加固，确保施工、确保考古技术发掘过程中的人身安全并提供必要的保障措施及设施； </w:t>
      </w:r>
    </w:p>
    <w:p w14:paraId="00217A5A">
      <w:pPr>
        <w:spacing w:line="360" w:lineRule="auto"/>
        <w:ind w:firstLine="480" w:firstLineChars="200"/>
        <w:rPr>
          <w:rFonts w:hint="eastAsia" w:ascii="宋体" w:hAnsi="宋体" w:cs="宋体"/>
          <w:b w:val="0"/>
          <w:bCs w:val="0"/>
          <w:color w:val="auto"/>
          <w:sz w:val="24"/>
          <w:u w:val="none"/>
          <w:lang w:val="en-US" w:eastAsia="zh-TW"/>
        </w:rPr>
      </w:pPr>
      <w:r>
        <w:rPr>
          <w:rFonts w:hint="eastAsia" w:ascii="宋体" w:hAnsi="宋体" w:cs="宋体"/>
          <w:b w:val="0"/>
          <w:bCs w:val="0"/>
          <w:color w:val="auto"/>
          <w:sz w:val="24"/>
          <w:u w:val="none"/>
          <w:lang w:val="en-US" w:eastAsia="zh-TW"/>
        </w:rPr>
        <w:t>6.负责周边及现场协调工作，确保考古发掘正常进行。</w:t>
      </w:r>
    </w:p>
    <w:p w14:paraId="1844E4D4">
      <w:pPr>
        <w:spacing w:line="360" w:lineRule="auto"/>
        <w:rPr>
          <w:rFonts w:hint="eastAsia" w:ascii="宋体" w:hAnsi="宋体" w:cs="宋体"/>
          <w:b w:val="0"/>
          <w:bCs w:val="0"/>
          <w:color w:val="auto"/>
          <w:sz w:val="24"/>
          <w:u w:val="none"/>
          <w:lang w:val="en-US" w:eastAsia="zh-CN"/>
        </w:rPr>
      </w:pPr>
      <w:r>
        <w:rPr>
          <w:rFonts w:hint="eastAsia" w:ascii="宋体" w:hAnsi="宋体" w:cs="宋体"/>
          <w:b w:val="0"/>
          <w:bCs w:val="0"/>
          <w:color w:val="auto"/>
          <w:sz w:val="24"/>
          <w:u w:val="none"/>
          <w:lang w:val="en-US" w:eastAsia="zh-CN"/>
        </w:rPr>
        <w:t>三、服务期限</w:t>
      </w:r>
    </w:p>
    <w:p w14:paraId="5D55A2BA">
      <w:pPr>
        <w:spacing w:line="360" w:lineRule="auto"/>
        <w:rPr>
          <w:rFonts w:hint="eastAsia" w:ascii="宋体" w:hAnsi="宋体" w:cs="宋体"/>
          <w:color w:val="auto"/>
          <w:kern w:val="0"/>
          <w:sz w:val="24"/>
          <w:szCs w:val="24"/>
          <w:u w:val="none"/>
          <w:shd w:val="clear" w:color="auto" w:fill="FFFFFF"/>
          <w:lang w:val="en-US" w:eastAsia="zh-CN" w:bidi="ar-SA"/>
        </w:rPr>
      </w:pPr>
      <w:r>
        <w:rPr>
          <w:rFonts w:hint="eastAsia" w:ascii="宋体" w:hAnsi="宋体" w:cs="宋体"/>
          <w:color w:val="auto"/>
          <w:kern w:val="0"/>
          <w:sz w:val="24"/>
          <w:szCs w:val="24"/>
          <w:u w:val="none"/>
          <w:shd w:val="clear" w:color="auto" w:fill="FFFFFF"/>
          <w:lang w:val="en-US" w:eastAsia="zh-CN" w:bidi="ar-SA"/>
        </w:rPr>
        <w:t>采购包1：</w:t>
      </w:r>
      <w:r>
        <w:rPr>
          <w:rFonts w:hint="eastAsia" w:ascii="宋体" w:hAnsi="宋体" w:cs="宋体"/>
          <w:b w:val="0"/>
          <w:bCs w:val="0"/>
          <w:color w:val="auto"/>
          <w:sz w:val="24"/>
          <w:u w:val="none"/>
          <w:lang w:val="en-US" w:eastAsia="zh-TW"/>
        </w:rPr>
        <w:t>自进场之日起30个日内竣工。</w:t>
      </w:r>
    </w:p>
    <w:p w14:paraId="11423891">
      <w:pPr>
        <w:spacing w:line="360" w:lineRule="auto"/>
        <w:rPr>
          <w:rFonts w:hint="eastAsia" w:ascii="宋体" w:hAnsi="宋体" w:cs="宋体"/>
          <w:color w:val="auto"/>
          <w:kern w:val="0"/>
          <w:sz w:val="24"/>
          <w:szCs w:val="24"/>
          <w:u w:val="none"/>
          <w:shd w:val="clear" w:color="auto" w:fill="FFFFFF"/>
          <w:lang w:val="en-US" w:eastAsia="zh-CN" w:bidi="ar-SA"/>
        </w:rPr>
      </w:pPr>
      <w:r>
        <w:rPr>
          <w:rFonts w:hint="eastAsia" w:ascii="宋体" w:hAnsi="宋体" w:cs="宋体"/>
          <w:color w:val="auto"/>
          <w:kern w:val="0"/>
          <w:sz w:val="24"/>
          <w:szCs w:val="24"/>
          <w:u w:val="none"/>
          <w:shd w:val="clear" w:color="auto" w:fill="FFFFFF"/>
          <w:lang w:val="en-US" w:eastAsia="zh-CN" w:bidi="ar-SA"/>
        </w:rPr>
        <w:t>采购包2：</w:t>
      </w:r>
      <w:r>
        <w:rPr>
          <w:rFonts w:hint="eastAsia" w:ascii="宋体" w:hAnsi="宋体" w:cs="宋体"/>
          <w:b w:val="0"/>
          <w:bCs w:val="0"/>
          <w:color w:val="auto"/>
          <w:sz w:val="24"/>
          <w:u w:val="none"/>
          <w:lang w:val="en-US" w:eastAsia="zh-TW"/>
        </w:rPr>
        <w:t>自进场之日起30个</w:t>
      </w:r>
      <w:r>
        <w:rPr>
          <w:rFonts w:hint="eastAsia" w:ascii="宋体" w:hAnsi="宋体" w:cs="宋体"/>
          <w:b w:val="0"/>
          <w:bCs w:val="0"/>
          <w:color w:val="auto"/>
          <w:sz w:val="24"/>
          <w:u w:val="none"/>
          <w:lang w:val="en-US" w:eastAsia="zh-CN"/>
        </w:rPr>
        <w:t>工作</w:t>
      </w:r>
      <w:r>
        <w:rPr>
          <w:rFonts w:hint="eastAsia" w:ascii="宋体" w:hAnsi="宋体" w:cs="宋体"/>
          <w:b w:val="0"/>
          <w:bCs w:val="0"/>
          <w:color w:val="auto"/>
          <w:sz w:val="24"/>
          <w:u w:val="none"/>
          <w:lang w:val="en-US" w:eastAsia="zh-TW"/>
        </w:rPr>
        <w:t>日内竣工。</w:t>
      </w:r>
    </w:p>
    <w:p w14:paraId="3E94AA57">
      <w:pPr>
        <w:spacing w:line="360" w:lineRule="auto"/>
        <w:ind w:firstLine="480" w:firstLineChars="200"/>
        <w:rPr>
          <w:rFonts w:hint="default" w:ascii="宋体" w:hAnsi="宋体" w:cs="宋体"/>
          <w:b w:val="0"/>
          <w:bCs w:val="0"/>
          <w:color w:val="auto"/>
          <w:sz w:val="24"/>
          <w:u w:val="none"/>
          <w:lang w:val="en-US" w:eastAsia="zh-CN"/>
        </w:rPr>
      </w:pPr>
    </w:p>
    <w:p w14:paraId="7BDC7104">
      <w:pPr>
        <w:spacing w:line="360" w:lineRule="auto"/>
        <w:rPr>
          <w:rFonts w:hint="eastAsia" w:ascii="宋体" w:hAnsi="宋体" w:cs="宋体"/>
          <w:color w:val="auto"/>
          <w:kern w:val="0"/>
          <w:sz w:val="24"/>
          <w:szCs w:val="24"/>
          <w:u w:val="none"/>
          <w:shd w:val="clear" w:color="auto" w:fill="FFFFFF"/>
          <w:lang w:val="en-US" w:eastAsia="zh-CN" w:bidi="ar-SA"/>
        </w:rPr>
      </w:pPr>
    </w:p>
    <w:p w14:paraId="3DA499E9">
      <w:pPr>
        <w:spacing w:line="360" w:lineRule="auto"/>
        <w:ind w:firstLine="480" w:firstLineChars="200"/>
        <w:rPr>
          <w:rFonts w:hint="eastAsia" w:ascii="宋体" w:hAnsi="宋体" w:cs="宋体"/>
          <w:b w:val="0"/>
          <w:bCs w:val="0"/>
          <w:color w:val="auto"/>
          <w:sz w:val="24"/>
          <w:u w:val="none"/>
          <w:lang w:val="en-US" w:eastAsia="zh-TW"/>
        </w:rPr>
      </w:pPr>
    </w:p>
    <w:p w14:paraId="02B446CF">
      <w:pPr>
        <w:pStyle w:val="4"/>
        <w:numPr>
          <w:numId w:val="0"/>
        </w:numPr>
        <w:spacing w:line="360" w:lineRule="auto"/>
        <w:jc w:val="both"/>
        <w:outlineLvl w:val="2"/>
        <w:rPr>
          <w:rFonts w:hint="default" w:ascii="宋体" w:hAnsi="宋体" w:cs="宋体"/>
          <w:color w:val="auto"/>
          <w:kern w:val="0"/>
          <w:sz w:val="24"/>
          <w:szCs w:val="24"/>
          <w:u w:val="none"/>
          <w:shd w:val="clear" w:color="auto" w:fill="FFFFFF"/>
          <w:lang w:val="en-US" w:eastAsia="zh-CN" w:bidi="ar-SA"/>
        </w:rPr>
      </w:pPr>
    </w:p>
    <w:p w14:paraId="71471102">
      <w:pPr>
        <w:pStyle w:val="4"/>
        <w:spacing w:line="360" w:lineRule="auto"/>
        <w:ind w:firstLine="480" w:firstLineChars="200"/>
        <w:jc w:val="both"/>
        <w:outlineLvl w:val="2"/>
        <w:rPr>
          <w:rFonts w:hint="eastAsia" w:ascii="宋体" w:hAnsi="宋体" w:eastAsia="宋体" w:cs="宋体"/>
          <w:color w:val="auto"/>
          <w:kern w:val="0"/>
          <w:sz w:val="24"/>
          <w:szCs w:val="24"/>
          <w:u w:val="none"/>
          <w:shd w:val="clear" w:color="auto" w:fill="FFFFFF"/>
          <w:lang w:val="en-US" w:eastAsia="zh-CN" w:bidi="ar-SA"/>
        </w:rPr>
      </w:pPr>
    </w:p>
    <w:bookmarkEnd w:id="0"/>
    <w:p w14:paraId="55E89276">
      <w:pPr>
        <w:jc w:val="center"/>
        <w:rPr>
          <w:rFonts w:hint="default" w:ascii="宋体" w:hAnsi="宋体" w:cs="宋体"/>
          <w:b/>
          <w:bCs/>
          <w:color w:val="auto"/>
          <w:kern w:val="0"/>
          <w:sz w:val="30"/>
          <w:szCs w:val="30"/>
          <w:u w:val="single"/>
          <w:shd w:val="clear" w:color="auto" w:fill="FFFFFF"/>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68553CD"/>
    <w:multiLevelType w:val="singleLevel"/>
    <w:tmpl w:val="468553CD"/>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D05ED1"/>
    <w:rsid w:val="0DD05ED1"/>
    <w:rsid w:val="473B3B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qFormat/>
    <w:uiPriority w:val="0"/>
    <w:rPr>
      <w:rFonts w:ascii="Calibri" w:hAnsi="Times New Roman" w:eastAsia="宋体" w:cs="Arial"/>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2026-08-24T04:08:00Z</dcterms:created>
  <dc:creator>望仔</dc:creator>
  <cp:lastModifiedBy>望仔</cp:lastModifiedBy>
  <dcterms:modified xsi:type="dcterms:W3CDTF">2026-08-24T04:14:54Z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68B0AFCDBE914B9DB77682AAD449EED0_11</vt:lpwstr>
  </property>
  <property fmtid="{D5CDD505-2E9C-101B-9397-08002B2CF9AE}" pid="4" name="KSOTemplateDocerSaveRecord">
    <vt:lpwstr>eyJoZGlkIjoiZmI2NjRlYjhhNGVhODlmMzljNjRiNzZiZGNmMThjNTQiLCJ1c2VySWQiOiI1NTUyODEwNDQifQ==</vt:lpwstr>
  </property>
</Properties>
</file>