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版本号：ZCSP-渭南市-2026-00184（0617-2624FZ1524）20260623001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国产化适配及API接口管理系统项目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ZCSP-渭南市-2026-00184（0617-2624FZ1524）</w:t>
      </w:r>
      <w:r>
        <w:br/>
      </w:r>
      <w:r>
        <w:br/>
      </w:r>
      <w:r>
        <w:br/>
      </w:r>
    </w:p>
    <w:p>
      <w:pPr>
        <w:pStyle w:val="null3"/>
        <w:jc w:val="center"/>
        <w:outlineLvl w:val="2"/>
      </w:pPr>
      <w:r>
        <w:rPr>
          <w:rFonts w:ascii="仿宋_GB2312" w:hAnsi="仿宋_GB2312" w:cs="仿宋_GB2312" w:eastAsia="仿宋_GB2312"/>
          <w:sz w:val="28"/>
          <w:b/>
        </w:rPr>
        <w:t>渭南市中心医院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渭南市中心医院</w:t>
      </w:r>
      <w:r>
        <w:rPr>
          <w:rFonts w:ascii="仿宋_GB2312" w:hAnsi="仿宋_GB2312" w:cs="仿宋_GB2312" w:eastAsia="仿宋_GB2312"/>
        </w:rPr>
        <w:t>委托，拟对</w:t>
      </w:r>
      <w:r>
        <w:rPr>
          <w:rFonts w:ascii="仿宋_GB2312" w:hAnsi="仿宋_GB2312" w:cs="仿宋_GB2312" w:eastAsia="仿宋_GB2312"/>
        </w:rPr>
        <w:t>国产化适配及API接口管理系统项目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ZCSP-渭南市-2026-00184（0617-2624FZ1524）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国产化适配及API接口管理系统项目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本项目为渭南市中心医院国产化适配及API接口管理系统采购项目,分为两个标段，第一标段采购清单：国产数据库系统 1套、Web应用防火墙系统 1套；第二标段采购清单：智能应用全栈监控平台 1套。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采购包1（国产化适配系统数据库采购项目）：属于专门面向中小企业采购。</w:t>
      </w:r>
    </w:p>
    <w:p>
      <w:pPr>
        <w:pStyle w:val="null3"/>
      </w:pPr>
      <w:r>
        <w:rPr>
          <w:rFonts w:ascii="仿宋_GB2312" w:hAnsi="仿宋_GB2312" w:cs="仿宋_GB2312" w:eastAsia="仿宋_GB2312"/>
        </w:rPr>
        <w:t>采购包2（智能应用全栈监控平台项目）：属于专门面向中小企业采购。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0913-2168363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张宇鑫 李建飞 周小方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采购包1：140,000.00元</w:t>
            </w:r>
          </w:p>
          <w:p>
            <w:pPr>
              <w:pStyle w:val="null3"/>
            </w:pPr>
            <w:r>
              <w:rPr>
                <w:rFonts w:ascii="仿宋_GB2312" w:hAnsi="仿宋_GB2312" w:cs="仿宋_GB2312" w:eastAsia="仿宋_GB2312"/>
              </w:rPr>
              <w:t>采购包2：301,800.00元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成交供应商在领取成交通知书前，须向采购代理机构一次性支付代理服务费。开户名称：西北（陕西）国际招标有限公司；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渭南市中心医院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磋商文件、磋商响应文件、合同文本、国内相应的标准、规范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磋商文件、磋商响应文件、合同文本、国内相应的标准、规范。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本项目为渭南市中心医院国产化适配及API接口管理系统采购项目,分为两个标段，第一标段采购清单：国产数据库系统 1套、Web应用防火墙系统 1套；第二标段采购清单：智能应用全栈监控平台 1套。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国产化适配系统数据库采购项目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301,800.00</w:t>
      </w:r>
    </w:p>
    <w:p>
      <w:pPr>
        <w:pStyle w:val="null3"/>
      </w:pPr>
      <w:r>
        <w:rPr>
          <w:rFonts w:ascii="仿宋_GB2312" w:hAnsi="仿宋_GB2312" w:cs="仿宋_GB2312" w:eastAsia="仿宋_GB2312"/>
        </w:rPr>
        <w:t>采购包最高限价（元）: 301,800.00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智能应用全栈监控平台项目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301,800.00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标的名称：国产化适配系统数据库采购项目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国产数据库系统 1套</w:t>
            </w:r>
          </w:p>
          <w:tbl>
            <w:tblPr>
              <w:tblBorders>
                <w:top w:val="none" w:color="000000" w:sz="4"/>
                <w:left w:val="none" w:color="000000" w:sz="4"/>
                <w:bottom w:val="none" w:color="000000" w:sz="4"/>
                <w:right w:val="none" w:color="000000" w:sz="4"/>
                <w:insideH w:val="none"/>
                <w:insideV w:val="none"/>
              </w:tblBorders>
            </w:tblPr>
            <w:tblGrid>
              <w:gridCol w:w="176"/>
              <w:gridCol w:w="2376"/>
            </w:tblGrid>
            <w:tr>
              <w:tc>
                <w:tcPr>
                  <w:tcW w:type="dxa" w:w="176"/>
                  <w:shd w:fill="FFFFFF"/>
                  <w:tcMar>
                    <w:top w:type="dxa" w:w="1"/>
                    <w:left w:type="dxa" w:w="1"/>
                    <w:bottom w:type="dxa" w:w="1"/>
                    <w:right w:type="dxa" w:w="1"/>
                  </w:tcMar>
                </w:tcPr>
                <w:p>
                  <w:pPr>
                    <w:pStyle w:val="null3"/>
                    <w:jc w:val="center"/>
                  </w:pPr>
                  <w:r>
                    <w:rPr>
                      <w:rFonts w:ascii="仿宋_GB2312" w:hAnsi="仿宋_GB2312" w:cs="仿宋_GB2312" w:eastAsia="仿宋_GB2312"/>
                    </w:rPr>
                    <w:t>序号</w:t>
                  </w:r>
                </w:p>
              </w:tc>
              <w:tc>
                <w:tcPr>
                  <w:tcW w:type="dxa" w:w="2376"/>
                  <w:tcBorders>
                    <w:top w:val="single" w:color="000000" w:sz="8"/>
                    <w:left w:val="none" w:color="000000" w:sz="4"/>
                    <w:bottom w:val="single" w:color="000000" w:sz="4"/>
                    <w:right w:val="single" w:color="000000" w:sz="8"/>
                  </w:tcBorders>
                  <w:shd w:fill="FFFFFF"/>
                  <w:tcMar>
                    <w:top w:type="dxa" w:w="1"/>
                    <w:left w:type="dxa" w:w="1"/>
                    <w:bottom w:type="dxa" w:w="1"/>
                    <w:right w:type="dxa" w:w="1"/>
                  </w:tcMar>
                </w:tcPr>
                <w:p>
                  <w:pPr>
                    <w:pStyle w:val="null3"/>
                    <w:jc w:val="center"/>
                  </w:pPr>
                  <w:r>
                    <w:rPr>
                      <w:rFonts w:ascii="仿宋_GB2312" w:hAnsi="仿宋_GB2312" w:cs="仿宋_GB2312" w:eastAsia="仿宋_GB2312"/>
                    </w:rPr>
                    <w:t>技术要求</w:t>
                  </w:r>
                </w:p>
              </w:tc>
            </w:tr>
            <w:tr>
              <w:tc>
                <w:tcPr>
                  <w:tcW w:type="dxa" w:w="176"/>
                  <w:tcBorders>
                    <w:top w:val="none" w:color="000000" w:sz="4"/>
                    <w:left w:val="single" w:color="000000" w:sz="8"/>
                    <w:bottom w:val="single" w:color="000000" w:sz="4"/>
                    <w:right w:val="single" w:color="000000" w:sz="4"/>
                  </w:tcBorders>
                  <w:shd w:fill="FFFFFF"/>
                  <w:tcMar>
                    <w:top w:type="dxa" w:w="1"/>
                    <w:left w:type="dxa" w:w="1"/>
                    <w:bottom w:type="dxa" w:w="1"/>
                    <w:right w:type="dxa" w:w="1"/>
                  </w:tcMar>
                </w:tcPr>
                <w:p>
                  <w:pPr>
                    <w:pStyle w:val="null3"/>
                    <w:jc w:val="left"/>
                  </w:pPr>
                  <w:r>
                    <w:rPr>
                      <w:rFonts w:ascii="仿宋_GB2312" w:hAnsi="仿宋_GB2312" w:cs="仿宋_GB2312" w:eastAsia="仿宋_GB2312"/>
                    </w:rPr>
                    <w:t>1</w:t>
                  </w:r>
                </w:p>
              </w:tc>
              <w:tc>
                <w:tcPr>
                  <w:tcW w:type="dxa" w:w="2376"/>
                  <w:tcBorders>
                    <w:top w:val="none" w:color="000000" w:sz="4"/>
                    <w:left w:val="none" w:color="000000" w:sz="4"/>
                    <w:bottom w:val="single" w:color="000000" w:sz="4"/>
                    <w:right w:val="single" w:color="000000" w:sz="8"/>
                  </w:tcBorders>
                  <w:shd w:fill="FFFFFF"/>
                  <w:tcMar>
                    <w:top w:type="dxa" w:w="1"/>
                    <w:left w:type="dxa" w:w="1"/>
                    <w:bottom w:type="dxa" w:w="1"/>
                    <w:right w:type="dxa" w:w="1"/>
                  </w:tcMar>
                </w:tcPr>
                <w:p>
                  <w:pPr>
                    <w:pStyle w:val="null3"/>
                    <w:jc w:val="left"/>
                  </w:pPr>
                  <w:r>
                    <w:rPr>
                      <w:rFonts w:ascii="仿宋_GB2312" w:hAnsi="仿宋_GB2312" w:cs="仿宋_GB2312" w:eastAsia="仿宋_GB2312"/>
                    </w:rPr>
                    <w:t>产品需为国产集中式关系型数据库，必须提供软件著作权证书。具有跨操作系统平台的能力，Linux、麒麟、UOS等操作系统等，支持INTEL、鲲鹏、飞腾等处理器；</w:t>
                  </w:r>
                </w:p>
              </w:tc>
            </w:tr>
            <w:tr>
              <w:tc>
                <w:tcPr>
                  <w:tcW w:type="dxa" w:w="176"/>
                  <w:tcBorders>
                    <w:top w:val="none" w:color="000000" w:sz="4"/>
                    <w:left w:val="single" w:color="000000" w:sz="8"/>
                    <w:bottom w:val="single" w:color="000000" w:sz="4"/>
                    <w:right w:val="single" w:color="000000" w:sz="4"/>
                  </w:tcBorders>
                  <w:shd w:fill="FFFFFF"/>
                  <w:tcMar>
                    <w:top w:type="dxa" w:w="1"/>
                    <w:left w:type="dxa" w:w="1"/>
                    <w:bottom w:type="dxa" w:w="1"/>
                    <w:right w:type="dxa" w:w="1"/>
                  </w:tcMar>
                </w:tcPr>
                <w:p>
                  <w:pPr>
                    <w:pStyle w:val="null3"/>
                    <w:jc w:val="left"/>
                  </w:pPr>
                  <w:r>
                    <w:rPr>
                      <w:rFonts w:ascii="仿宋_GB2312" w:hAnsi="仿宋_GB2312" w:cs="仿宋_GB2312" w:eastAsia="仿宋_GB2312"/>
                    </w:rPr>
                    <w:t>2</w:t>
                  </w:r>
                </w:p>
              </w:tc>
              <w:tc>
                <w:tcPr>
                  <w:tcW w:type="dxa" w:w="2376"/>
                  <w:tcBorders>
                    <w:top w:val="none" w:color="000000" w:sz="4"/>
                    <w:left w:val="none" w:color="000000" w:sz="4"/>
                    <w:bottom w:val="single" w:color="000000" w:sz="4"/>
                    <w:right w:val="single" w:color="000000" w:sz="8"/>
                  </w:tcBorders>
                  <w:shd w:fill="FFFFFF"/>
                  <w:tcMar>
                    <w:top w:type="dxa" w:w="1"/>
                    <w:left w:type="dxa" w:w="1"/>
                    <w:bottom w:type="dxa" w:w="1"/>
                    <w:right w:type="dxa" w:w="1"/>
                  </w:tcMar>
                </w:tcPr>
                <w:p>
                  <w:pPr>
                    <w:pStyle w:val="null3"/>
                    <w:jc w:val="left"/>
                  </w:pPr>
                  <w:r>
                    <w:rPr>
                      <w:rFonts w:ascii="仿宋_GB2312" w:hAnsi="仿宋_GB2312" w:cs="仿宋_GB2312" w:eastAsia="仿宋_GB2312"/>
                    </w:rPr>
                    <w:t>数据库产品通过中国信息安全测评中心或国家保密科技测评中心的安全可靠评测，获得安全可靠等级“I级”</w:t>
                  </w:r>
                </w:p>
              </w:tc>
            </w:tr>
            <w:tr>
              <w:tc>
                <w:tcPr>
                  <w:tcW w:type="dxa" w:w="176"/>
                  <w:tcBorders>
                    <w:top w:val="none" w:color="000000" w:sz="4"/>
                    <w:left w:val="single" w:color="000000" w:sz="8"/>
                    <w:bottom w:val="single" w:color="000000" w:sz="4"/>
                    <w:right w:val="single" w:color="000000" w:sz="4"/>
                  </w:tcBorders>
                  <w:shd w:fill="FFFFFF"/>
                  <w:tcMar>
                    <w:top w:type="dxa" w:w="1"/>
                    <w:left w:type="dxa" w:w="1"/>
                    <w:bottom w:type="dxa" w:w="1"/>
                    <w:right w:type="dxa" w:w="1"/>
                  </w:tcMar>
                </w:tcPr>
                <w:p>
                  <w:pPr>
                    <w:pStyle w:val="null3"/>
                    <w:jc w:val="left"/>
                  </w:pPr>
                  <w:r>
                    <w:rPr>
                      <w:rFonts w:ascii="仿宋_GB2312" w:hAnsi="仿宋_GB2312" w:cs="仿宋_GB2312" w:eastAsia="仿宋_GB2312"/>
                    </w:rPr>
                    <w:t>3</w:t>
                  </w:r>
                </w:p>
              </w:tc>
              <w:tc>
                <w:tcPr>
                  <w:tcW w:type="dxa" w:w="2376"/>
                  <w:tcBorders>
                    <w:top w:val="none" w:color="000000" w:sz="4"/>
                    <w:left w:val="none" w:color="000000" w:sz="4"/>
                    <w:bottom w:val="single" w:color="000000" w:sz="4"/>
                    <w:right w:val="single" w:color="000000" w:sz="8"/>
                  </w:tcBorders>
                  <w:shd w:fill="FFFFFF"/>
                  <w:tcMar>
                    <w:top w:type="dxa" w:w="1"/>
                    <w:left w:type="dxa" w:w="1"/>
                    <w:bottom w:type="dxa" w:w="1"/>
                    <w:right w:type="dxa" w:w="1"/>
                  </w:tcMar>
                </w:tcPr>
                <w:p>
                  <w:pPr>
                    <w:pStyle w:val="null3"/>
                    <w:jc w:val="left"/>
                  </w:pPr>
                  <w:r>
                    <w:rPr>
                      <w:rFonts w:ascii="仿宋_GB2312" w:hAnsi="仿宋_GB2312" w:cs="仿宋_GB2312" w:eastAsia="仿宋_GB2312"/>
                    </w:rPr>
                    <w:t>▲针对国产处理器平台有专门的优化技术，要求在2 路国产处理器平台上 TPCC 测试中 100 仓数据量性能能达到 150 万 tpmC 以上，须提供工信部下属测评机构： 中国软件评测中心、 国家工业信息安全发展研究中心、工业和信息化部电子第五 研究所、 中国电子技术标准化研究院、 中国信息通信研究院其中之一按信创测试 大纲测试后出具的《产品质量测试报告》或《产品确认测试报告》，并加盖原厂 公章。</w:t>
                  </w:r>
                </w:p>
              </w:tc>
            </w:tr>
            <w:tr>
              <w:tc>
                <w:tcPr>
                  <w:tcW w:type="dxa" w:w="176"/>
                  <w:tcBorders>
                    <w:top w:val="none" w:color="000000" w:sz="4"/>
                    <w:left w:val="single" w:color="000000" w:sz="8"/>
                    <w:bottom w:val="single" w:color="000000" w:sz="4"/>
                    <w:right w:val="single" w:color="000000" w:sz="4"/>
                  </w:tcBorders>
                  <w:shd w:fill="FFFFFF"/>
                  <w:tcMar>
                    <w:top w:type="dxa" w:w="1"/>
                    <w:left w:type="dxa" w:w="1"/>
                    <w:bottom w:type="dxa" w:w="1"/>
                    <w:right w:type="dxa" w:w="1"/>
                  </w:tcMar>
                </w:tcPr>
                <w:p>
                  <w:pPr>
                    <w:pStyle w:val="null3"/>
                    <w:jc w:val="left"/>
                  </w:pPr>
                  <w:r>
                    <w:rPr>
                      <w:rFonts w:ascii="仿宋_GB2312" w:hAnsi="仿宋_GB2312" w:cs="仿宋_GB2312" w:eastAsia="仿宋_GB2312"/>
                    </w:rPr>
                    <w:t>4</w:t>
                  </w:r>
                </w:p>
              </w:tc>
              <w:tc>
                <w:tcPr>
                  <w:tcW w:type="dxa" w:w="2376"/>
                  <w:tcBorders>
                    <w:top w:val="none" w:color="000000" w:sz="4"/>
                    <w:left w:val="none" w:color="000000" w:sz="4"/>
                    <w:bottom w:val="single" w:color="000000" w:sz="4"/>
                    <w:right w:val="single" w:color="000000" w:sz="8"/>
                  </w:tcBorders>
                  <w:shd w:fill="FFFFFF"/>
                  <w:tcMar>
                    <w:top w:type="dxa" w:w="1"/>
                    <w:left w:type="dxa" w:w="1"/>
                    <w:bottom w:type="dxa" w:w="1"/>
                    <w:right w:type="dxa" w:w="1"/>
                  </w:tcMar>
                </w:tcPr>
                <w:p>
                  <w:pPr>
                    <w:pStyle w:val="null3"/>
                    <w:jc w:val="left"/>
                  </w:pPr>
                  <w:r>
                    <w:rPr>
                      <w:rFonts w:ascii="仿宋_GB2312" w:hAnsi="仿宋_GB2312" w:cs="仿宋_GB2312" w:eastAsia="仿宋_GB2312"/>
                    </w:rPr>
                    <w:t>支持ANSI SQL-2003以上标准；支持JDBC/ODBC标准接口；支持PL/pgSQL等过程语言。</w:t>
                  </w:r>
                </w:p>
              </w:tc>
            </w:tr>
            <w:tr>
              <w:tc>
                <w:tcPr>
                  <w:tcW w:type="dxa" w:w="176"/>
                  <w:tcBorders>
                    <w:top w:val="none" w:color="000000" w:sz="4"/>
                    <w:left w:val="single" w:color="000000" w:sz="8"/>
                    <w:bottom w:val="single" w:color="000000" w:sz="4"/>
                    <w:right w:val="single" w:color="000000" w:sz="4"/>
                  </w:tcBorders>
                  <w:shd w:fill="FFFFFF"/>
                  <w:tcMar>
                    <w:top w:type="dxa" w:w="1"/>
                    <w:left w:type="dxa" w:w="1"/>
                    <w:bottom w:type="dxa" w:w="1"/>
                    <w:right w:type="dxa" w:w="1"/>
                  </w:tcMar>
                </w:tcPr>
                <w:p>
                  <w:pPr>
                    <w:pStyle w:val="null3"/>
                    <w:jc w:val="left"/>
                  </w:pPr>
                  <w:r>
                    <w:rPr>
                      <w:rFonts w:ascii="仿宋_GB2312" w:hAnsi="仿宋_GB2312" w:cs="仿宋_GB2312" w:eastAsia="仿宋_GB2312"/>
                    </w:rPr>
                    <w:t>5</w:t>
                  </w:r>
                </w:p>
              </w:tc>
              <w:tc>
                <w:tcPr>
                  <w:tcW w:type="dxa" w:w="2376"/>
                  <w:tcBorders>
                    <w:top w:val="none" w:color="000000" w:sz="4"/>
                    <w:left w:val="none" w:color="000000" w:sz="4"/>
                    <w:bottom w:val="single" w:color="000000" w:sz="4"/>
                    <w:right w:val="single" w:color="000000" w:sz="8"/>
                  </w:tcBorders>
                  <w:shd w:fill="FFFFFF"/>
                  <w:tcMar>
                    <w:top w:type="dxa" w:w="1"/>
                    <w:left w:type="dxa" w:w="1"/>
                    <w:bottom w:type="dxa" w:w="1"/>
                    <w:right w:type="dxa" w:w="1"/>
                  </w:tcMar>
                </w:tcPr>
                <w:p>
                  <w:pPr>
                    <w:pStyle w:val="null3"/>
                    <w:jc w:val="left"/>
                  </w:pPr>
                  <w:r>
                    <w:rPr>
                      <w:rFonts w:ascii="仿宋_GB2312" w:hAnsi="仿宋_GB2312" w:cs="仿宋_GB2312" w:eastAsia="仿宋_GB2312"/>
                    </w:rPr>
                    <w:t>支持空间数据功能，支持丰富的原生几何数据类型，包括点、线、面、多点、多线、多面、几何集合等；支持 EWKT、EWKB 和 Canonical 格式的几何对象；支持2D/3D 坐标系、坐标系转换·和球体长度计算；支持空间数据分析函数和聚合函数，包括 Area、Length、Distance、Extent、ST_3DLineInterpolatePoint 等；支持二元谓词如如 Union和Difference，空间操作符如Contains、Within、Overlaps、 Touches 等；</w:t>
                  </w:r>
                </w:p>
              </w:tc>
            </w:tr>
            <w:tr>
              <w:tc>
                <w:tcPr>
                  <w:tcW w:type="dxa" w:w="176"/>
                  <w:tcBorders>
                    <w:top w:val="none" w:color="000000" w:sz="4"/>
                    <w:left w:val="single" w:color="000000" w:sz="8"/>
                    <w:bottom w:val="single" w:color="000000" w:sz="4"/>
                    <w:right w:val="single" w:color="000000" w:sz="4"/>
                  </w:tcBorders>
                  <w:shd w:fill="FFFFFF"/>
                  <w:tcMar>
                    <w:top w:type="dxa" w:w="1"/>
                    <w:left w:type="dxa" w:w="1"/>
                    <w:bottom w:type="dxa" w:w="1"/>
                    <w:right w:type="dxa" w:w="1"/>
                  </w:tcMar>
                </w:tcPr>
                <w:p>
                  <w:pPr>
                    <w:pStyle w:val="null3"/>
                    <w:jc w:val="left"/>
                  </w:pPr>
                  <w:r>
                    <w:rPr>
                      <w:rFonts w:ascii="仿宋_GB2312" w:hAnsi="仿宋_GB2312" w:cs="仿宋_GB2312" w:eastAsia="仿宋_GB2312"/>
                    </w:rPr>
                    <w:t>6</w:t>
                  </w:r>
                </w:p>
              </w:tc>
              <w:tc>
                <w:tcPr>
                  <w:tcW w:type="dxa" w:w="2376"/>
                  <w:tcBorders>
                    <w:top w:val="none" w:color="000000" w:sz="4"/>
                    <w:left w:val="none" w:color="000000" w:sz="4"/>
                    <w:bottom w:val="single" w:color="000000" w:sz="4"/>
                    <w:right w:val="single" w:color="000000" w:sz="8"/>
                  </w:tcBorders>
                  <w:shd w:fill="FFFFFF"/>
                  <w:tcMar>
                    <w:top w:type="dxa" w:w="1"/>
                    <w:left w:type="dxa" w:w="1"/>
                    <w:bottom w:type="dxa" w:w="1"/>
                    <w:right w:type="dxa" w:w="1"/>
                  </w:tcMar>
                </w:tcPr>
                <w:p>
                  <w:pPr>
                    <w:pStyle w:val="null3"/>
                    <w:jc w:val="left"/>
                  </w:pPr>
                  <w:r>
                    <w:rPr>
                      <w:rFonts w:ascii="仿宋_GB2312" w:hAnsi="仿宋_GB2312" w:cs="仿宋_GB2312" w:eastAsia="仿宋_GB2312"/>
                    </w:rPr>
                    <w:t>支持全密态等值查询功能，全密态数据库提供数据整个生命周期中的隐私保 护，涵盖网络传输、数据存储以及数据运行态，密态等值查询通过技术手段实现 数据库密文查询和计算，实现数据拥有者与数据管理者读取能力分离。支持动态 数据脱敏，在不改变源数据的前提下，通过在脱敏策略上配置针对的用户场景（FILTER）、指定的敏感列标签（LABEL）和对应的脱敏方式（MASKING FUNCTION） 来灵活地进行隐私数据保护。须提供具有 CNAS 标识的第三方检测机构出具的检测  报告并附带提供操作截图，并加盖原厂公章。</w:t>
                  </w:r>
                </w:p>
              </w:tc>
            </w:tr>
            <w:tr>
              <w:tc>
                <w:tcPr>
                  <w:tcW w:type="dxa" w:w="176"/>
                  <w:tcBorders>
                    <w:top w:val="none" w:color="000000" w:sz="4"/>
                    <w:left w:val="single" w:color="000000" w:sz="8"/>
                    <w:bottom w:val="single" w:color="000000" w:sz="4"/>
                    <w:right w:val="single" w:color="000000" w:sz="4"/>
                  </w:tcBorders>
                  <w:shd w:fill="FFFFFF"/>
                  <w:tcMar>
                    <w:top w:type="dxa" w:w="1"/>
                    <w:left w:type="dxa" w:w="1"/>
                    <w:bottom w:type="dxa" w:w="1"/>
                    <w:right w:type="dxa" w:w="1"/>
                  </w:tcMar>
                </w:tcPr>
                <w:p>
                  <w:pPr>
                    <w:pStyle w:val="null3"/>
                    <w:jc w:val="left"/>
                  </w:pPr>
                  <w:r>
                    <w:rPr>
                      <w:rFonts w:ascii="仿宋_GB2312" w:hAnsi="仿宋_GB2312" w:cs="仿宋_GB2312" w:eastAsia="仿宋_GB2312"/>
                    </w:rPr>
                    <w:t>7</w:t>
                  </w:r>
                </w:p>
              </w:tc>
              <w:tc>
                <w:tcPr>
                  <w:tcW w:type="dxa" w:w="2376"/>
                  <w:tcBorders>
                    <w:top w:val="none" w:color="000000" w:sz="4"/>
                    <w:left w:val="none" w:color="000000" w:sz="4"/>
                    <w:bottom w:val="single" w:color="000000" w:sz="4"/>
                    <w:right w:val="single" w:color="000000" w:sz="8"/>
                  </w:tcBorders>
                  <w:shd w:fill="FFFFFF"/>
                  <w:tcMar>
                    <w:top w:type="dxa" w:w="1"/>
                    <w:left w:type="dxa" w:w="1"/>
                    <w:bottom w:type="dxa" w:w="1"/>
                    <w:right w:type="dxa" w:w="1"/>
                  </w:tcMar>
                </w:tcPr>
                <w:p>
                  <w:pPr>
                    <w:pStyle w:val="null3"/>
                    <w:jc w:val="left"/>
                  </w:pPr>
                  <w:r>
                    <w:rPr>
                      <w:rFonts w:ascii="仿宋_GB2312" w:hAnsi="仿宋_GB2312" w:cs="仿宋_GB2312" w:eastAsia="仿宋_GB2312"/>
                    </w:rPr>
                    <w:t>支持AI功能,通过结合深度强化学习和全局搜索算法等AI技术，实现在无需人工干预的情况下，获取最佳数据库参数配置。索引推荐功能支持用户在数据库中直接进行操作，对用户输入的单条查询语句生成推荐的索引。须提供具有CNAS标识的第三方检测机构出具的检测报告。</w:t>
                  </w:r>
                </w:p>
              </w:tc>
            </w:tr>
            <w:tr>
              <w:tc>
                <w:tcPr>
                  <w:tcW w:type="dxa" w:w="176"/>
                  <w:tcBorders>
                    <w:top w:val="none" w:color="000000" w:sz="4"/>
                    <w:left w:val="single" w:color="000000" w:sz="8"/>
                    <w:bottom w:val="single" w:color="000000" w:sz="4"/>
                    <w:right w:val="single" w:color="000000" w:sz="4"/>
                  </w:tcBorders>
                  <w:shd w:fill="FFFFFF"/>
                  <w:tcMar>
                    <w:top w:type="dxa" w:w="1"/>
                    <w:left w:type="dxa" w:w="1"/>
                    <w:bottom w:type="dxa" w:w="1"/>
                    <w:right w:type="dxa" w:w="1"/>
                  </w:tcMar>
                </w:tcPr>
                <w:p>
                  <w:pPr>
                    <w:pStyle w:val="null3"/>
                    <w:jc w:val="left"/>
                  </w:pPr>
                  <w:r>
                    <w:rPr>
                      <w:rFonts w:ascii="仿宋_GB2312" w:hAnsi="仿宋_GB2312" w:cs="仿宋_GB2312" w:eastAsia="仿宋_GB2312"/>
                    </w:rPr>
                    <w:t>8</w:t>
                  </w:r>
                </w:p>
              </w:tc>
              <w:tc>
                <w:tcPr>
                  <w:tcW w:type="dxa" w:w="2376"/>
                  <w:tcBorders>
                    <w:top w:val="none" w:color="000000" w:sz="4"/>
                    <w:left w:val="none" w:color="000000" w:sz="4"/>
                    <w:bottom w:val="single" w:color="000000" w:sz="4"/>
                    <w:right w:val="single" w:color="000000" w:sz="8"/>
                  </w:tcBorders>
                  <w:shd w:fill="FFFFFF"/>
                  <w:tcMar>
                    <w:top w:type="dxa" w:w="1"/>
                    <w:left w:type="dxa" w:w="1"/>
                    <w:bottom w:type="dxa" w:w="1"/>
                    <w:right w:type="dxa" w:w="1"/>
                  </w:tcMar>
                </w:tcPr>
                <w:p>
                  <w:pPr>
                    <w:pStyle w:val="null3"/>
                    <w:jc w:val="left"/>
                  </w:pPr>
                  <w:r>
                    <w:rPr>
                      <w:rFonts w:ascii="仿宋_GB2312" w:hAnsi="仿宋_GB2312" w:cs="仿宋_GB2312" w:eastAsia="仿宋_GB2312"/>
                    </w:rPr>
                    <w:t>在任意数据库实例出现故障时，集群内服务正常运行，数据不丢失，集群整体业务可用。在实例故障、节点故障等单数据库实例故障时，RPO时间等于0，RTO时间小于30s；</w:t>
                  </w:r>
                </w:p>
              </w:tc>
            </w:tr>
            <w:tr>
              <w:tc>
                <w:tcPr>
                  <w:tcW w:type="dxa" w:w="176"/>
                  <w:tcBorders>
                    <w:top w:val="none" w:color="000000" w:sz="4"/>
                    <w:left w:val="single" w:color="000000" w:sz="8"/>
                    <w:bottom w:val="single" w:color="000000" w:sz="4"/>
                    <w:right w:val="single" w:color="000000" w:sz="4"/>
                  </w:tcBorders>
                  <w:shd w:fill="FFFFFF"/>
                  <w:tcMar>
                    <w:top w:type="dxa" w:w="1"/>
                    <w:left w:type="dxa" w:w="1"/>
                    <w:bottom w:type="dxa" w:w="1"/>
                    <w:right w:type="dxa" w:w="1"/>
                  </w:tcMar>
                </w:tcPr>
                <w:p>
                  <w:pPr>
                    <w:pStyle w:val="null3"/>
                    <w:jc w:val="left"/>
                  </w:pPr>
                  <w:r>
                    <w:rPr>
                      <w:rFonts w:ascii="仿宋_GB2312" w:hAnsi="仿宋_GB2312" w:cs="仿宋_GB2312" w:eastAsia="仿宋_GB2312"/>
                    </w:rPr>
                    <w:t>9</w:t>
                  </w:r>
                </w:p>
              </w:tc>
              <w:tc>
                <w:tcPr>
                  <w:tcW w:type="dxa" w:w="2376"/>
                  <w:tcBorders>
                    <w:top w:val="none" w:color="000000" w:sz="4"/>
                    <w:left w:val="none" w:color="000000" w:sz="4"/>
                    <w:bottom w:val="single" w:color="000000" w:sz="4"/>
                    <w:right w:val="single" w:color="000000" w:sz="8"/>
                  </w:tcBorders>
                  <w:shd w:fill="FFFFFF"/>
                  <w:tcMar>
                    <w:top w:type="dxa" w:w="1"/>
                    <w:left w:type="dxa" w:w="1"/>
                    <w:bottom w:type="dxa" w:w="1"/>
                    <w:right w:type="dxa" w:w="1"/>
                  </w:tcMar>
                </w:tcPr>
                <w:p>
                  <w:pPr>
                    <w:pStyle w:val="null3"/>
                    <w:jc w:val="left"/>
                  </w:pPr>
                  <w:r>
                    <w:rPr>
                      <w:rFonts w:ascii="仿宋_GB2312" w:hAnsi="仿宋_GB2312" w:cs="仿宋_GB2312" w:eastAsia="仿宋_GB2312"/>
                    </w:rPr>
                    <w:t>▲支持基于共享存储的存算分离数据库架构，计算节点和存储节点分离，存储利用率提升50%以上。在集群管理上，基于双重心跳检测、共享盘仲裁、IO Fencing 等技术实现集群节点故障自动检测、恢复和隔离。须提供具有 CNAS 标识的第三 方检测机构出具的检测报告并附带提供操作截图，并加盖原厂公章。</w:t>
                  </w:r>
                </w:p>
              </w:tc>
            </w:tr>
            <w:tr>
              <w:tc>
                <w:tcPr>
                  <w:tcW w:type="dxa" w:w="176"/>
                  <w:tcBorders>
                    <w:top w:val="none" w:color="000000" w:sz="4"/>
                    <w:left w:val="single" w:color="000000" w:sz="8"/>
                    <w:bottom w:val="single" w:color="000000" w:sz="4"/>
                    <w:right w:val="single" w:color="000000" w:sz="4"/>
                  </w:tcBorders>
                  <w:shd w:fill="FFFFFF"/>
                  <w:tcMar>
                    <w:top w:type="dxa" w:w="1"/>
                    <w:left w:type="dxa" w:w="1"/>
                    <w:bottom w:type="dxa" w:w="1"/>
                    <w:right w:type="dxa" w:w="1"/>
                  </w:tcMar>
                </w:tcPr>
                <w:p>
                  <w:pPr>
                    <w:pStyle w:val="null3"/>
                    <w:jc w:val="left"/>
                  </w:pPr>
                  <w:r>
                    <w:rPr>
                      <w:rFonts w:ascii="仿宋_GB2312" w:hAnsi="仿宋_GB2312" w:cs="仿宋_GB2312" w:eastAsia="仿宋_GB2312"/>
                    </w:rPr>
                    <w:t>10</w:t>
                  </w:r>
                </w:p>
              </w:tc>
              <w:tc>
                <w:tcPr>
                  <w:tcW w:type="dxa" w:w="2376"/>
                  <w:tcBorders>
                    <w:top w:val="none" w:color="000000" w:sz="4"/>
                    <w:left w:val="none" w:color="000000" w:sz="4"/>
                    <w:bottom w:val="single" w:color="000000" w:sz="4"/>
                    <w:right w:val="single" w:color="000000" w:sz="8"/>
                  </w:tcBorders>
                  <w:shd w:fill="FFFFFF"/>
                  <w:tcMar>
                    <w:top w:type="dxa" w:w="1"/>
                    <w:left w:type="dxa" w:w="1"/>
                    <w:bottom w:type="dxa" w:w="1"/>
                    <w:right w:type="dxa" w:w="1"/>
                  </w:tcMar>
                </w:tcPr>
                <w:p>
                  <w:pPr>
                    <w:pStyle w:val="null3"/>
                    <w:jc w:val="left"/>
                  </w:pPr>
                  <w:r>
                    <w:rPr>
                      <w:rFonts w:ascii="仿宋_GB2312" w:hAnsi="仿宋_GB2312" w:cs="仿宋_GB2312" w:eastAsia="仿宋_GB2312"/>
                    </w:rPr>
                    <w:t>▲基于共享存储的存算分离数据库架构，在64核的基础上，tpcc 测试中1000仓500并发可以达到60万以上tpmc值，升到1000并发后，性能衰减不超过3万tpmc。须提供具有 CNAS 标识的第三方检测机构出具的检测报告并附带提供操作截图，并加盖原厂公章。</w:t>
                  </w:r>
                </w:p>
              </w:tc>
            </w:tr>
            <w:tr>
              <w:tc>
                <w:tcPr>
                  <w:tcW w:type="dxa" w:w="176"/>
                  <w:tcBorders>
                    <w:top w:val="none" w:color="000000" w:sz="4"/>
                    <w:left w:val="single" w:color="000000" w:sz="8"/>
                    <w:bottom w:val="single" w:color="000000" w:sz="4"/>
                    <w:right w:val="single" w:color="000000" w:sz="4"/>
                  </w:tcBorders>
                  <w:shd w:fill="FFFFFF"/>
                  <w:tcMar>
                    <w:top w:type="dxa" w:w="1"/>
                    <w:left w:type="dxa" w:w="1"/>
                    <w:bottom w:type="dxa" w:w="1"/>
                    <w:right w:type="dxa" w:w="1"/>
                  </w:tcMar>
                </w:tcPr>
                <w:p>
                  <w:pPr>
                    <w:pStyle w:val="null3"/>
                    <w:jc w:val="left"/>
                  </w:pPr>
                  <w:r>
                    <w:rPr>
                      <w:rFonts w:ascii="仿宋_GB2312" w:hAnsi="仿宋_GB2312" w:cs="仿宋_GB2312" w:eastAsia="仿宋_GB2312"/>
                    </w:rPr>
                    <w:t>11</w:t>
                  </w:r>
                </w:p>
              </w:tc>
              <w:tc>
                <w:tcPr>
                  <w:tcW w:type="dxa" w:w="2376"/>
                  <w:tcBorders>
                    <w:top w:val="none" w:color="000000" w:sz="4"/>
                    <w:left w:val="none" w:color="000000" w:sz="4"/>
                    <w:bottom w:val="single" w:color="000000" w:sz="4"/>
                    <w:right w:val="single" w:color="000000" w:sz="8"/>
                  </w:tcBorders>
                  <w:shd w:fill="FFFFFF"/>
                  <w:tcMar>
                    <w:top w:type="dxa" w:w="1"/>
                    <w:left w:type="dxa" w:w="1"/>
                    <w:bottom w:type="dxa" w:w="1"/>
                    <w:right w:type="dxa" w:w="1"/>
                  </w:tcMar>
                </w:tcPr>
                <w:p>
                  <w:pPr>
                    <w:pStyle w:val="null3"/>
                    <w:jc w:val="left"/>
                  </w:pPr>
                  <w:r>
                    <w:rPr>
                      <w:rFonts w:ascii="仿宋_GB2312" w:hAnsi="仿宋_GB2312" w:cs="仿宋_GB2312" w:eastAsia="仿宋_GB2312"/>
                    </w:rPr>
                    <w:t>▲三年原厂技术支持服务，原厂软件安装部署、7*24小时远程技术支持服务、现场服务支持、产品升级许可及版本升级服务、数据库软件补丁修复服务、故障排除与技术支持服务。</w:t>
                  </w:r>
                </w:p>
              </w:tc>
            </w:tr>
          </w:tbl>
          <w:p>
            <w:pPr>
              <w:pStyle w:val="null3"/>
              <w:jc w:val="both"/>
            </w:pPr>
            <w:r>
              <w:rPr>
                <w:rFonts w:ascii="仿宋_GB2312" w:hAnsi="仿宋_GB2312" w:cs="仿宋_GB2312" w:eastAsia="仿宋_GB2312"/>
              </w:rPr>
              <w:t>Web应用防火墙系统 1台</w:t>
            </w:r>
          </w:p>
          <w:tbl>
            <w:tblPr>
              <w:tblBorders>
                <w:top w:val="none" w:color="000000" w:sz="4"/>
                <w:left w:val="none" w:color="000000" w:sz="4"/>
                <w:bottom w:val="none" w:color="000000" w:sz="4"/>
                <w:right w:val="none" w:color="000000" w:sz="4"/>
                <w:insideH w:val="none"/>
                <w:insideV w:val="none"/>
              </w:tblBorders>
            </w:tblPr>
            <w:tblGrid>
              <w:gridCol w:w="243"/>
              <w:gridCol w:w="2309"/>
            </w:tblGrid>
            <w:tr>
              <w:tc>
                <w:tcPr>
                  <w:tcW w:type="dxa" w:w="243"/>
                  <w:shd w:fill="FFFFFF"/>
                  <w:tcMar>
                    <w:top w:type="dxa" w:w="0"/>
                    <w:left w:type="dxa" w:w="105"/>
                    <w:bottom w:type="dxa" w:w="0"/>
                    <w:right w:type="dxa" w:w="105"/>
                  </w:tcMar>
                </w:tcPr>
                <w:p>
                  <w:pPr>
                    <w:pStyle w:val="null3"/>
                    <w:jc w:val="center"/>
                  </w:pPr>
                  <w:r>
                    <w:rPr>
                      <w:rFonts w:ascii="仿宋_GB2312" w:hAnsi="仿宋_GB2312" w:cs="仿宋_GB2312" w:eastAsia="仿宋_GB2312"/>
                    </w:rPr>
                    <w:t>序号</w:t>
                  </w:r>
                </w:p>
              </w:tc>
              <w:tc>
                <w:tcPr>
                  <w:tcW w:type="dxa" w:w="2309"/>
                  <w:tcBorders>
                    <w:top w:val="single" w:color="000000" w:sz="8"/>
                    <w:left w:val="none" w:color="000000" w:sz="4"/>
                    <w:bottom w:val="single" w:color="000000" w:sz="4"/>
                    <w:right w:val="single" w:color="000000" w:sz="8"/>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技术要求</w:t>
                  </w:r>
                </w:p>
              </w:tc>
            </w:tr>
            <w:tr>
              <w:tc>
                <w:tcPr>
                  <w:tcW w:type="dxa" w:w="243"/>
                  <w:tcBorders>
                    <w:top w:val="none" w:color="000000" w:sz="4"/>
                    <w:left w:val="single" w:color="000000" w:sz="8"/>
                    <w:bottom w:val="single" w:color="000000" w:sz="8"/>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rPr>
                    <w:t>1</w:t>
                  </w:r>
                </w:p>
              </w:tc>
              <w:tc>
                <w:tcPr>
                  <w:tcW w:type="dxa" w:w="2309"/>
                  <w:tcBorders>
                    <w:top w:val="none" w:color="000000" w:sz="4"/>
                    <w:left w:val="none" w:color="000000" w:sz="4"/>
                    <w:bottom w:val="single" w:color="000000" w:sz="8"/>
                    <w:right w:val="sing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rPr>
                    <w:t>▲1.标准机架尺寸≥2U；</w:t>
                  </w:r>
                </w:p>
                <w:p>
                  <w:pPr>
                    <w:pStyle w:val="null3"/>
                    <w:jc w:val="left"/>
                  </w:pPr>
                  <w:r>
                    <w:rPr>
                      <w:rFonts w:ascii="仿宋_GB2312" w:hAnsi="仿宋_GB2312" w:cs="仿宋_GB2312" w:eastAsia="仿宋_GB2312"/>
                    </w:rPr>
                    <w:t>▲2.交流双电源；</w:t>
                  </w:r>
                </w:p>
                <w:p>
                  <w:pPr>
                    <w:pStyle w:val="null3"/>
                    <w:jc w:val="left"/>
                  </w:pPr>
                  <w:r>
                    <w:rPr>
                      <w:rFonts w:ascii="仿宋_GB2312" w:hAnsi="仿宋_GB2312" w:cs="仿宋_GB2312" w:eastAsia="仿宋_GB2312"/>
                    </w:rPr>
                    <w:t>▲3.接口不少于1个RJ45串口，不少于1个GE管理口，不少于6个千兆电口，不少于1个接口扩展插槽；</w:t>
                  </w:r>
                </w:p>
                <w:p>
                  <w:pPr>
                    <w:pStyle w:val="null3"/>
                    <w:jc w:val="left"/>
                  </w:pPr>
                  <w:r>
                    <w:rPr>
                      <w:rFonts w:ascii="仿宋_GB2312" w:hAnsi="仿宋_GB2312" w:cs="仿宋_GB2312" w:eastAsia="仿宋_GB2312"/>
                    </w:rPr>
                    <w:t>4.</w:t>
                  </w:r>
                  <w:r>
                    <w:rPr>
                      <w:rFonts w:ascii="仿宋_GB2312" w:hAnsi="仿宋_GB2312" w:cs="仿宋_GB2312" w:eastAsia="仿宋_GB2312"/>
                    </w:rPr>
                    <w:t>硬盘存储≥1TB；</w:t>
                  </w:r>
                </w:p>
                <w:p>
                  <w:pPr>
                    <w:pStyle w:val="null3"/>
                    <w:jc w:val="left"/>
                  </w:pPr>
                  <w:r>
                    <w:rPr>
                      <w:rFonts w:ascii="仿宋_GB2312" w:hAnsi="仿宋_GB2312" w:cs="仿宋_GB2312" w:eastAsia="仿宋_GB2312"/>
                    </w:rPr>
                    <w:t>▲5.网络层吞吐量≥4Gbps，每秒最大事务处理数≥30,000tps，最大并发连接数≥150000，每秒新建连接数≥10,000cps，应用层吞吐≤1Gbps，Flood防护能力100万pps；</w:t>
                  </w:r>
                </w:p>
                <w:p>
                  <w:pPr>
                    <w:pStyle w:val="null3"/>
                    <w:jc w:val="left"/>
                  </w:pPr>
                  <w:r>
                    <w:rPr>
                      <w:rFonts w:ascii="仿宋_GB2312" w:hAnsi="仿宋_GB2312" w:cs="仿宋_GB2312" w:eastAsia="仿宋_GB2312"/>
                    </w:rPr>
                    <w:t>6.</w:t>
                  </w:r>
                  <w:r>
                    <w:rPr>
                      <w:rFonts w:ascii="仿宋_GB2312" w:hAnsi="仿宋_GB2312" w:cs="仿宋_GB2312" w:eastAsia="仿宋_GB2312"/>
                    </w:rPr>
                    <w:t>默认包含三年规则特征库、软件及其他功能模块免费升级；</w:t>
                  </w:r>
                </w:p>
                <w:p>
                  <w:pPr>
                    <w:pStyle w:val="null3"/>
                    <w:jc w:val="left"/>
                  </w:pPr>
                  <w:r>
                    <w:rPr>
                      <w:rFonts w:ascii="仿宋_GB2312" w:hAnsi="仿宋_GB2312" w:cs="仿宋_GB2312" w:eastAsia="仿宋_GB2312"/>
                    </w:rPr>
                    <w:t>▲7.售后要求：提供三年免费原厂质保，包括：整机及其包含的所有配件三年免费维修和免费换件；7*24小时技术支持服务；</w:t>
                  </w:r>
                </w:p>
              </w:tc>
            </w:tr>
          </w:tbl>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标的名称：智能应用全栈监控平台项目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Ind w:type="dxa" w:w="135"/>
                    <w:tblBorders>
                      <w:top w:val="single"/>
                      <w:left w:val="single"/>
                      <w:bottom w:val="single"/>
                      <w:right w:val="single"/>
                      <w:insideH w:val="single"/>
                      <w:insideV w:val="single"/>
                    </w:tblBorders>
                  </w:tblPr>
                  <w:tblGrid>
                    <w:gridCol w:w="244"/>
                    <w:gridCol w:w="215"/>
                    <w:gridCol w:w="191"/>
                    <w:gridCol w:w="465"/>
                    <w:gridCol w:w="1146"/>
                    <w:gridCol w:w="76"/>
                  </w:tblGrid>
                  <w:tr>
                    <w:tc>
                      <w:tcPr>
                        <w:tcW w:type="dxa" w:w="244"/>
                        <w:tcBorders>
                          <w:top w:val="double" w:color="000000" w:sz="8"/>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b/>
                            <w:color w:val="000000"/>
                          </w:rPr>
                          <w:t>序号</w:t>
                        </w:r>
                      </w:p>
                    </w:tc>
                    <w:tc>
                      <w:tcPr>
                        <w:tcW w:type="dxa" w:w="871"/>
                        <w:gridSpan w:val="3"/>
                        <w:tcBorders>
                          <w:top w:val="double" w:color="000000" w:sz="8"/>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b/>
                            <w:color w:val="000000"/>
                          </w:rPr>
                          <w:t>分类</w:t>
                        </w:r>
                      </w:p>
                    </w:tc>
                    <w:tc>
                      <w:tcPr>
                        <w:tcW w:type="dxa" w:w="1222"/>
                        <w:gridSpan w:val="2"/>
                        <w:tcBorders>
                          <w:top w:val="double" w:color="000000" w:sz="8"/>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b/>
                            <w:color w:val="000000"/>
                          </w:rPr>
                          <w:t>技术要求</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w:t>
                        </w:r>
                      </w:p>
                    </w:tc>
                    <w:tc>
                      <w:tcPr>
                        <w:tcW w:type="dxa" w:w="21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总体要求</w:t>
                        </w:r>
                      </w:p>
                    </w:tc>
                    <w:tc>
                      <w:tcPr>
                        <w:tcW w:type="dxa" w:w="19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总体要求</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架构要求</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平台必须为自主研发产品，具有自主知识产权，采用Java等主流语言开发，全中文界面、B/S架构设计。能够使用Chrome、Firefox、Edge等浏览器访问；至少支持部署在Windows、Linux和国产化麒麟操作系统三种平台之上。</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信创环境要求（硬件）</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系统要求适配国产服务器，支持海光、兆芯国产CPU，同时支持国产化ARM架构部署（如鲲鹏920、飞腾S2500、龙芯3A5000等主流国产ARM芯片）。</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信创环境要求（软件）</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系统要求适配国产操作系统、数据库和中间件，至少支持银河麒麟V10、欧拉等国产化操作系统，支持达梦、Oceanbase、TiDB等国产化数据库，支持东方通、宝兰德等应用服务器软件，提供安全检测报告。（并且要求提供不少于4个产品兼容性互认证证书，涵盖国产化操作系统、数据库、中间件，且证书需在有效期内。）</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4</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部署要求</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支持跨网、跨地区部署采集服务器，分布式数据采集，分级监控管理；支持Docker容器部署交付、实现开箱即用、快速部署。</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w:t>
                        </w:r>
                      </w:p>
                    </w:tc>
                    <w:tc>
                      <w:tcPr>
                        <w:tcW w:type="dxa" w:w="21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运维管理子系统</w:t>
                        </w:r>
                      </w:p>
                    </w:tc>
                    <w:tc>
                      <w:tcPr>
                        <w:tcW w:type="dxa" w:w="19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AI服务台</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智能电话一体机及接口开发</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提供来电智能一体机硬件及接口开发，支持自动推流电话语音到智能工单系统，为服务台坐席人员实现来电弹屏、电话录音功能。</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来电弹屏</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具备来电弹屏功能，服务台集成智能电话一体机，当服务台坐席有来电时，在浏览器登录系统的坐席人员页面自动弹出工单新建页面，工单类型可选择运维服务单或耗材申请单等，弹屏时可切换填写不同类型的工单，切换后之前填写的故障描述、科室、电话等信息不丢失，页面内容包括来电人的部门组织、地点等用户信息和历史工单等记录，帮助坐席人员快速了解用户情况；支持弹屏设置，通过弹屏开关控制在当前浏览器是否来电弹窗；支持多路电话同时呼入时多窗口弹屏，弹屏窗口可自由切换切换，切换时工单信息和附件信息不丢失，弹屏窗口可最小化到页面右上角，方便查询系统其他信息。</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7</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电话录音</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▲支持实时在线录音，录音文件可传至服务器永久保存，录音文件可回放，回放时可设置语音播放倍速，可监控多路电话。（提供原厂商著作权复印件，著作权需涉及智能语音录入、智能录音、通话录音领域）</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8</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通话记录</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记录用户来电通话的时间、时长、来电科室、来电号码、录音、值班人、服务台电话、建单情况等信息；支持通过关键字、来电时间、服务台电话查询过滤，来电时间支持按日、周、月、年或自定义区间；支持在通话记录上手动建单，工单类型可选择运维服务单或耗材申请单；支持通话录音下载、标记和查看通话内容操作。</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9</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服务台建单</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多种建单方式，坐席人员可以手动新建工单，也可以通过复制新建工单，复制工单可自动带入工单标题、工单描述、联系电话、服务目录等所有表单字段内容；支持在新建工单页面查看在线设备、历史报修和知识库页签，在创建工单时支持根据填写的内容自动进行分词搜索知识库，如果有对应的知识库可以进行“引用”，工程师可在手机端查看工单引用的知识库详情处理内容。</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AI自动建单</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接入用户本地或互联网大模型，在用户来电通话结束后，基于电话录音功能，调用大模型解析录音文件，实现通话语音转文字，并通过自然语言理解与生成，自动总结工单标题、工单详情和服务目录，自动创建工单。（提供原厂商著作权复印件，著作权涉及AI智能电话机器人、智能语义识别、智能语音建单领域）</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11</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值班服务台</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系统支持汇总当前值班的所有工单和电话，统一调度分派，展示所有未处理、处理中及已完成的工单信息；对工单不同状态、优先级等进行分类展示；支持按照工单状态以标签页的形式过滤展示工单列表；支持列设置自定义显示列表字段；支持通过关键字、处理人、工单状态、报修时间、分类、创建人进行工单查询过滤；支持服务台人员对工单进行派单、重派、编辑、取消、复制和打印操作，打印工单按照预先设计的模板对工单进行格式化排版打印。</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12</w:t>
                        </w:r>
                      </w:p>
                    </w:tc>
                    <w:tc>
                      <w:tcPr>
                        <w:tcW w:type="dxa" w:w="215"/>
                        <w:vMerge/>
                        <w:tcBorders>
                          <w:top w:val="none" w:color="000000" w:sz="4"/>
                          <w:left w:val="none" w:color="000000" w:sz="4"/>
                          <w:bottom w:val="single" w:color="000000" w:sz="4"/>
                          <w:right w:val="single" w:color="000000" w:sz="4"/>
                        </w:tcBorders>
                      </w:tcPr>
                      <w:p/>
                    </w:tc>
                    <w:tc>
                      <w:tcPr>
                        <w:tcW w:type="dxa" w:w="19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移动服务台</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电话报单</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支持用户通过拨打服务台热线进行工单申报，自动弹屏带出基本信息，支持服务台手工录入和AI自动建单。</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13</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移动应用报单</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支持通过企业微信、钉钉报单，工单内容支持拍照、录音、文字描述、语音识别等输入方式，系统自动接收报修信息并生成工单。</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14</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告警转工单</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当一体化运维监控模块检测到设备故障或异常时，通过既定规则自动生成工单并通知运维人员进行处理。</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15</w:t>
                        </w:r>
                      </w:p>
                    </w:tc>
                    <w:tc>
                      <w:tcPr>
                        <w:tcW w:type="dxa" w:w="215"/>
                        <w:vMerge/>
                        <w:tcBorders>
                          <w:top w:val="none" w:color="000000" w:sz="4"/>
                          <w:left w:val="none" w:color="000000" w:sz="4"/>
                          <w:bottom w:val="single" w:color="000000" w:sz="4"/>
                          <w:right w:val="single" w:color="000000" w:sz="4"/>
                        </w:tcBorders>
                      </w:tcPr>
                      <w:p/>
                    </w:tc>
                    <w:tc>
                      <w:tcPr>
                        <w:tcW w:type="dxa" w:w="19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工单管理</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工单操作</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对工单进行提交、接单、转交、暂停、取消、协同、转存知识库、催办、评价、工单查询、关闭等操作；支持在移动端进行工单处理；支持坐席人员对工单进行分配、跟踪和协调，确保工单能够及时准确地流转到相应的工程师手中。</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16</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派单</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支持派单到组或派单到人两种模式，服务台坐席人员手动分派工单到对应的运维小组或具体的某一个运维人员。</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17</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接单</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支持用户在“我的工单”-“待接单”页签下进行接单操作，接单操作支持接单、转交、拒绝、打印操作；支持在“待接单”页签下进行工单补录和新建工单。</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18</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工单转交</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支持对工单状态为“待接单”和“处理中”的工单进行转交操作，要求填写转交人和转交原因，转交原因支持通过数据字典配置维护原因列表。</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19</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工单暂停</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支持对工单状态为“处理中”的工单进行暂停操作，要求填写暂停原因和说明，暂停原因支持通过数据字典配置维护原因列表。</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多人协助</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支持对工单状态为“待接单”和“处理中”的工单操作中，添加协同人；支持协同人在工单页面进行协同处理。</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21</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工单处理</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支持运维人员在处理工单过程中，填写处理记录，包括处理步骤、处理结果等；支持在工单处理过程中执行添加协同人、转交、暂停、关注、打印操作；支持坐席人员对工单进行分配、跟踪和协调处理。</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22</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工单完成</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当工单处理完成后，运维人员可以填写完成情况，选择故障原因、解决方式，描述处理过程，上传附件，引用资产库中资产对象；支持将工单标记为完成状态，并通知报修人进行确认；支持选择解决方式，包括远程、现场、电话、送修；</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23</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工单评论</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支持对工单进行动态评论，评论分类包括协同处理情况、进度催办和普通评论，支持在评论中上传附件和@组织中的用户。</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24</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工单评价</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报修人可以对工单的处理结果进行评价，包括满意度、处理速度、服务态度维度，各维度使用五星快速打分；支持添加附件；</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25</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工单查询</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用户和运维人员可以根据不同的条件查询工单的状态和处理进度，如关键字、工单状态、报修时间等；支持按时间维度对工单进行过滤展示，包括今天、昨天、本周、上周、本月、上月、今年、去年这些时间范围；支持将结果导出位Excel文件。</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26</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智能派单</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分派规则的增删改查；支持自定义工单分配规则，包括优先级、规则名称、派单方式、指定小组、具体规则内容和启用状态维护；支持根据预设的规则，如服务目录分类、部门片区、所属科室、部门标签，自动将工单分配给最合适的运维人员；支持按服务目录和按部门片区过滤单独展示为页签页面。</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27</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AI助手</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▲支持工单系统接入用户本地或互联网大模型，在工单页面点击AI助手后，支持分析工单标题和描述，推荐解决方案。（要求提供系统功能截图并加盖厂商公章）</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28</w:t>
                        </w:r>
                      </w:p>
                    </w:tc>
                    <w:tc>
                      <w:tcPr>
                        <w:tcW w:type="dxa" w:w="215"/>
                        <w:vMerge/>
                        <w:tcBorders>
                          <w:top w:val="none" w:color="000000" w:sz="4"/>
                          <w:left w:val="none" w:color="000000" w:sz="4"/>
                          <w:bottom w:val="single" w:color="000000" w:sz="4"/>
                          <w:right w:val="single" w:color="000000" w:sz="4"/>
                        </w:tcBorders>
                      </w:tcPr>
                      <w:p/>
                    </w:tc>
                    <w:tc>
                      <w:tcPr>
                        <w:tcW w:type="dxa" w:w="19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报表分析</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工单统计</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对工单的数量、类型、处理时间、满意度等进行统计分析；支持按照科室维度、工程师维度进行工单统计分析，生成各种统计报表，为管理决策提供数据支持。包括：按工单类型、按故障原因、按解决方式、按报修日期、按时间段、按满意度、按小组等多维度统计。</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29</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按工单维度统计</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按照工单类型、故障原因、紧急程度、工单来源、故障资产、解决方式、重复故障、报修日期、时间段维度，对统计区间（年度、季度、月、周、日）内的工单进行统计分析，通过饼图、柱状图、表格等控件进行展示，支持下钻分析。</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30</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按科室维度统计</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支持按照各科室报单数量、满意度维度，对统计区间（年度、季度、月、周、日）内的工单进行统计分析，通过饼图、柱状图、表格等控件进行展示，支持下钻分析。</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31</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按工程师维度统计</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按照工单数量、工单权重和小组维度，对统计区间（年度、季度、月、周、日）内的工单进行统计分析，通过饼图、柱状图、表格等控件进行展示，支持列出工程师处理工单的总量、完成、未完成、转交、中止、服务台解决的数量。</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32</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按服务台统计</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支持按照服务台通话和建单数量，，对统计区间（年度、季度、月、周、日）、工程师小组电话接听和建单情况进行统计分析；支持统计分析电话接听率、服务台建单率、电话解决率、接听与建单分析。</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33</w:t>
                        </w:r>
                      </w:p>
                    </w:tc>
                    <w:tc>
                      <w:tcPr>
                        <w:tcW w:type="dxa" w:w="215"/>
                        <w:vMerge/>
                        <w:tcBorders>
                          <w:top w:val="none" w:color="000000" w:sz="4"/>
                          <w:left w:val="none" w:color="000000" w:sz="4"/>
                          <w:bottom w:val="single" w:color="000000" w:sz="4"/>
                          <w:right w:val="single" w:color="000000" w:sz="4"/>
                        </w:tcBorders>
                      </w:tcP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工单首页</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个人首页</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个人首页可展示待办事项，可直接从首页跳转到各模块详情。门户首页可以直接创建工单，处理工单，发起流程，审批流程。用户可根据内置组件自定义首页展示内容。（提供原厂商著作权复印件，著作权需涉及工单自定义管理、页面自定义管理、页面自定义布局领域）</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34</w:t>
                        </w:r>
                      </w:p>
                    </w:tc>
                    <w:tc>
                      <w:tcPr>
                        <w:tcW w:type="dxa" w:w="215"/>
                        <w:vMerge/>
                        <w:tcBorders>
                          <w:top w:val="none" w:color="000000" w:sz="4"/>
                          <w:left w:val="none" w:color="000000" w:sz="4"/>
                          <w:bottom w:val="single" w:color="000000" w:sz="4"/>
                          <w:right w:val="single" w:color="000000" w:sz="4"/>
                        </w:tcBorders>
                      </w:tcPr>
                      <w:p/>
                    </w:tc>
                    <w:tc>
                      <w:tcPr>
                        <w:tcW w:type="dxa" w:w="19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知识管理</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知识目录</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支持对知识条目的增删改查，对知识目录进行分类分级管理，支持两级树型知识目录。</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35</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知识管理流程</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支持创建、审核、发布等规范的知识条目管理流程。</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36</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知识编辑</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支持富文本编辑，支持知识详细内容打印；提供标签和分类功能，通过标签和分类将知识进行组织和归档，便于查找和浏览；支持设置知识条目的可见范围，支持知识条目共享给其他用户。</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37</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知识查看</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对知识条目进行收藏，点赞和评论；支持对知识条目进行动态评论，评论分类包括普通评论、解决方案和其他，支持在评论中上传附件和@组织中的用户；知识条目自动记录该条目的用户查询记录、收藏记录、点赞记录和动态信息。</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38</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知识导入</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提供知识导入功能，允许以文件的形式将文本导入知识库，导入功能支持知识模板下载</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39</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知识检索</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支持通过关键字、可见范围和标签对知识库进行查询过滤；支持关键词搜索全文、标题、类型等，提供模糊搜索功能。</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40</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知识引用</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在创建工单时时，系统根据填写的内容自动进行分词搜索知识库，如果有对应的知识库可以进行“引用”，工程师可在手机端查看工单引用的知识库详情处理内。</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41</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工单转知识</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支持运维人员将完成的工单中快速保存为知识条目，用于经验共享。</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42</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知识评价</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支持对知识文章进行评价、点赞和收藏，可以按照收藏、点赞和评论标签快速查看知识。</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43</w:t>
                        </w:r>
                      </w:p>
                    </w:tc>
                    <w:tc>
                      <w:tcPr>
                        <w:tcW w:type="dxa" w:w="21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运维管理子系统</w:t>
                        </w:r>
                      </w:p>
                    </w:tc>
                    <w:tc>
                      <w:tcPr>
                        <w:tcW w:type="dxa" w:w="19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采集管理</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自动发现</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多种自动发现策略，包括主机发现策略、链路追踪策略、网络拓扑策略，支持多策略自动发现IP范围中待接入设备；支持对自动发现的监控对象进行模版的配置，自动分组。支持通过操作系统，一键发现服务、进程、端口等信息。支持自定义主机发现策略，根据操作系统上的应用端口、服务、进程，发现中间件、数据库等信息，可自定义端口、服务、进程发现优先等级；支持自定义链路追踪策略，根据对应接口来自动发现中间件，数据库等信息；支持自定义网络拓扑策略添加对应的主机。</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44</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采集节点</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支持Windows、Linux以及国产操作系统作为采集服务器；支持主动式和被动式的数据推送。</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45</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Agent要求</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Agent要求可以部署在所有可运行JVM的操作系统环境。</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46</w:t>
                        </w:r>
                      </w:p>
                    </w:tc>
                    <w:tc>
                      <w:tcPr>
                        <w:tcW w:type="dxa" w:w="215"/>
                        <w:vMerge/>
                        <w:tcBorders>
                          <w:top w:val="none" w:color="000000" w:sz="4"/>
                          <w:left w:val="none" w:color="000000" w:sz="4"/>
                          <w:bottom w:val="single" w:color="000000" w:sz="4"/>
                          <w:right w:val="single" w:color="000000" w:sz="4"/>
                        </w:tcBorders>
                      </w:tcPr>
                      <w:p/>
                    </w:tc>
                    <w:tc>
                      <w:tcPr>
                        <w:tcW w:type="dxa" w:w="19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监控工作台</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监控概况</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监控首页个性化定义，通过拖拽预定义组件可按需展示首页内容与排版样式；监控概览默认要求展示接入的监控资源总体情况，包括整体纳管的CPU、内存和磁盘信息，设备情况汇总：设备数量、正常设备、严重告警设备数、提醒设备数、连接异常设备数；展示监控业务数据，业务系统健康度概览、设备运行情况；集中展示操作系统和内存TOP5对象，设备管理概况以及最新告警列表。（提供原厂商著作权复印件，要求包含类似可视化报表设计、低代码设计、可视化页面关键词）</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47</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监控展示</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具备面向全业务的监控，展示所有业务当前的运行情况和关联的资源数。</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48</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能够实现接入的监控资源总体情况，包括正常设备数、严重设备数、提醒设备数、失联设备数等。</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49</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能够实现系统接入的设备数及各种设备类型的接入数，包括操作系统、数据库、中间件、网络设备、服务器、存储等。</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能够展示最新严重告警信息，能够快捷定位需要处理的告警事件。</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51</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用户可根据需求自主拖拽布局，多维度多视角的自定义资源面板，而不需要依赖厂商修改源码实现。</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52</w:t>
                        </w:r>
                      </w:p>
                    </w:tc>
                    <w:tc>
                      <w:tcPr>
                        <w:tcW w:type="dxa" w:w="215"/>
                        <w:vMerge/>
                        <w:tcBorders>
                          <w:top w:val="none" w:color="000000" w:sz="4"/>
                          <w:left w:val="none" w:color="000000" w:sz="4"/>
                          <w:bottom w:val="single" w:color="000000" w:sz="4"/>
                          <w:right w:val="single" w:color="000000" w:sz="4"/>
                        </w:tcBorders>
                      </w:tcPr>
                      <w:p/>
                    </w:tc>
                    <w:tc>
                      <w:tcPr>
                        <w:tcW w:type="dxa" w:w="19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监控配置</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监控面板</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自定义展示各类监控对象的指标聚合，提供多种数据展示组件：如柱状图、折线图、仪表盘、水波图、面板图、嵌套环形图、表格等，组件数量不少于30个，支持动态数据绑定、数据更新和组件属性定义，用户可自定义每种监控对象的展示面板；支持自定义Tab页签和Tab页签中展示内容自定义；支持在设备监控页面通过停用模板中的面板或卡片控制监控展示内容。</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53</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监控模板</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系统要求内置不少于200个监控模板，支持各类监控模版的创建和配置，模板更新升级操作可以升级jar包自动完成；支持模板的导入、导出、导出全部、分组设置、触发器设置、监控指标设置等功能；支持模板导出为ymal+json文件格式；支持监控模板的在线编辑和复制，模板编辑支持定义模板基本信息、使用说明、更新记录和接入配置信息。</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54</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监控指标管理</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支持在线管理监控模板中监控指标，支持批量编辑；指标管理包括定义指标告警级别、数据采集间隔、数据存储时间、启用状态、标签和关联关系；支持通过指标名称、启用状态、级别和标签进行查询过滤。</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55</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监控规则管理</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在监控模板中管理告警规则，支持告警规则的增删改查和批量编辑；支持监控指标的告警事件和恢复事件定义，对单指标设定告警级别，监控触发阈值条件、恢复条件、标签、启用状态和关联监控项；触发/恢复条件支持通过选择监控项、对比方式、时间间隔、比较符号和阈值组合自动生成触发/恢复条件表达式。</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56</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模板参数管理</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在监控模板中管理模板参数，支持模板参数的增删改查和批量编辑，支持在模板中定义全局参数、模板级参数、设备级参数，包括参数键值、参数别名、参数值、参数优先级、参数类型和说明。（要求提供系统功能截图并加盖厂商公章）</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57</w:t>
                        </w:r>
                      </w:p>
                    </w:tc>
                    <w:tc>
                      <w:tcPr>
                        <w:tcW w:type="dxa" w:w="215"/>
                        <w:vMerge/>
                        <w:tcBorders>
                          <w:top w:val="none" w:color="000000" w:sz="4"/>
                          <w:left w:val="none" w:color="000000" w:sz="4"/>
                          <w:bottom w:val="single" w:color="000000" w:sz="4"/>
                          <w:right w:val="single" w:color="000000" w:sz="4"/>
                        </w:tcBorders>
                      </w:tcPr>
                      <w:p/>
                    </w:tc>
                    <w:tc>
                      <w:tcPr>
                        <w:tcW w:type="dxa" w:w="19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设备监控</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操作系统监控</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通过协议（无Agent）或Agent的方式对Windows、Linux以及麒麟、统信、深度、中科方德等国产操作系统的监控；支持对操作系统资源CPU、内存、磁盘情况进行监控分析；支持对支撑业务系统正常运行的重要端口、服务、进程的可用性进行监控；支持对网络发送与接收速率、丢包率、错误包数、网卡流量进行监控；支持针对每一个监控对象记录运维笔记，包括笔记内容、附件和笔记分类。</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58</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数据库监控</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不同版本Caché数据库的监控、TiDB、MySQL、SQLServer、Oracle、DBMongoDB、Redis、ElasticSearch、达梦等数据库的运行状态和性能数据进行统一监控管理；支持对数据库连通性、数据库文件、表空间、死锁、作业、会话、慢SQL等进行监控；支持针对每一个监控对象记录运维笔记，包括笔记内容、附件和笔记分类。</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59</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接口监控</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对业务之间的服务接口进行监控，支持业务接口可用性进行监控。监控接口请求结果、响应状态、响应时长、响应结果等信息；支持对接口响应状态和平均调用时长进行分析；支持针对每一个监控对象记录运维笔记，包括笔记内容、附件和笔记分类。（要求提供系统功能截图并加盖厂商公章）</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60</w:t>
                        </w:r>
                      </w:p>
                    </w:tc>
                    <w:tc>
                      <w:tcPr>
                        <w:tcW w:type="dxa" w:w="215"/>
                        <w:vMerge/>
                        <w:tcBorders>
                          <w:top w:val="none" w:color="000000" w:sz="4"/>
                          <w:left w:val="none" w:color="000000" w:sz="4"/>
                          <w:bottom w:val="single" w:color="000000" w:sz="4"/>
                          <w:right w:val="single" w:color="000000" w:sz="4"/>
                        </w:tcBorders>
                      </w:tcPr>
                      <w:p/>
                    </w:tc>
                    <w:tc>
                      <w:tcPr>
                        <w:tcW w:type="dxa" w:w="19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业务监控</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业务展示</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支持按业务系统分类、等保级别、网络类型等多维度树状展示。支持业务墙展示该分类下所有业务系统的健康状态；支持业务分类的增删改查操作。</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61</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业务可用性</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支持系统可用性监控，包括响应状态和响应时间等进行监控；支持对业务系统的重要功能可用性进行监控，包括系统登录、重点功能、退出等页面；</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62</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业务监控</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以业务系统监控为主线，实现对业务所关联设备（服务器、网络、存储等）的性能、业务运行所依赖的数据库、中间件、服务接口等多维度立体化统一运维监控和数据分析；支持业务维度的变更记录，全方位时间轴展示该业务系统的资源及配置变更。</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63</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业务拓扑</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提供手动方式创建业务拓扑架构图，支持用户进行自定义拓扑绘制及管理功能，支持自定义拓扑图中设备图标；支持以业务拓扑图方式展示业务架构，拓扑节点可关联监控对象的告警状态，用户可以在拓扑图上逐级下钻查看告警设备详情；业务拓扑图支持自动生成和手动设计，业务拓扑支持多层级关联，可逐级下钻查看或手动导航浏览；（要求提供系统功能截图并加盖厂商公章）</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64</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运行情况分析</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支持统一概览视图展示该业务系统下所有监控对象运行情况，接口调用情况，以柱状、折线图表方式进行统计分析。</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65</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变更记录</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记录该业务系统下历史变更记录，包括基本信息变更、节点增加或删除、拓扑变更等变更内容，支持按时间段和变更类型统计变更数量。</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66</w:t>
                        </w:r>
                      </w:p>
                    </w:tc>
                    <w:tc>
                      <w:tcPr>
                        <w:tcW w:type="dxa" w:w="215"/>
                        <w:vMerge/>
                        <w:tcBorders>
                          <w:top w:val="none" w:color="000000" w:sz="4"/>
                          <w:left w:val="none" w:color="000000" w:sz="4"/>
                          <w:bottom w:val="single" w:color="000000" w:sz="4"/>
                          <w:right w:val="single" w:color="000000" w:sz="4"/>
                        </w:tcBorders>
                      </w:tcPr>
                      <w:p/>
                    </w:tc>
                    <w:tc>
                      <w:tcPr>
                        <w:tcW w:type="dxa" w:w="19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告警管理</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告警管理工作台</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告警管理（工作台）支持告警事件的统一展示与管理，支持按照告警事件状态、告警级别、处理状态进行过滤展示；用户可以在工作台查看告警事件的级别、详情、发生时间、持续时间、状态等信息，还可以对告警进行批量操作，包括确认、处理、忽略、分工设置、导出等操作。</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67</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监控规则库</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内置不少于200条常见告警规则，覆盖操作系统、数据库、中间件、网络、存储、物理服务器、虚拟化平台等常见监控对象的故障场景；支持自定义告警规则，包括故障原因、解决方案，支持规则合并和全局宏。</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68</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告警分析</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系统可关联分析设备故障发生前1天、3天、一周及一个月内的运行数据，帮助运维人员全面回溯故障前的状态变化趋势，提升故障定位效率。</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69</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告警处理</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支持忽略、手动处理和脚本处理三种处理方式；脚本处理可以选择脚本库中预先编写的处理脚本实现自动化故障修复。</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70</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告警分工</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支持消息的订阅，按照监控对象分发给不同的运维人员。</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71</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告警媒介</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支持短信、钉钉机器人、企业微信机器人、邮件等各种通知媒介的方式进行告警；提供RESTFul北向接口，向第三方系统推送告警消息；支持对接工单API接口，将告警转为工单处理。</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72</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消息模板</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支持为各种通知媒介自定义通知内容，通知内容包括标题和描述，支持变量引用，提供变量映射值说明和示例。</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73</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告警发送配置</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支持告警发送配置规则的增删改查；支持在发送配置中定义设备重要程度、设备分类、设备子类型、设备列表、告警媒介、发送时使用服务器、发送对象内容；支持告警升级设置，定义告警超时升级规则。</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74</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告警收敛</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系统内置不少于9种告警收敛策略模板，用户可以快速通过新增告警收敛规则实现告警压缩；支持新增告警静默规则模板，自定义对告警源和管理对象在维护时间窗口内产生的告警保持静默。</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75</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告警接收</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告警接收规则的增删改查；支持自定义消息处理脚本，提供测试功能；支持告警接收基本信息定义，包括设备名称、IP地址、设备类型、接收方式、负责人、风险等级、风险阈值、告警触发校验时长、单位时间攻击次数、告警推送方式、消息模板等信息。</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76</w:t>
                        </w:r>
                      </w:p>
                    </w:tc>
                    <w:tc>
                      <w:tcPr>
                        <w:tcW w:type="dxa" w:w="215"/>
                        <w:vMerge/>
                        <w:tcBorders>
                          <w:top w:val="none" w:color="000000" w:sz="4"/>
                          <w:left w:val="none" w:color="000000" w:sz="4"/>
                          <w:bottom w:val="single" w:color="000000" w:sz="4"/>
                          <w:right w:val="single" w:color="000000" w:sz="4"/>
                        </w:tcBorders>
                      </w:tcPr>
                      <w:p/>
                    </w:tc>
                    <w:tc>
                      <w:tcPr>
                        <w:tcW w:type="dxa" w:w="19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报表分析</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监控日报</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支持按照选择日期生成当天监控日报，包括纳管设备类型统计、工程师统计、设备告警统计、告警分类统计折线图、柱状图及Top5表格视图，每日告警详情表格，支持导出为Excel表格。</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77</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监控月报</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支持选择月份生成监控月报，包括每日告警统计、纳管设备类型统计、工程师统计、设备告警统计、告警分类统计折线图、柱状图及Top5表格视图，支持导出为Excel表格。</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78</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监控季报</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支持按季度生成监控报表，包括纳管设备类型统计、工程师统计、设备告警统计、告警分类统计、持续时长统计折线图、柱状图及Top5表格视图，支持导出为Excel表格。</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79</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监控年报</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支持按年生成监控报表，包括纳管设备类型统计、工程师统计、设备告警统计、告警分类统计、持续时长统计折线图、柱状图及Top5表格视图，支持导出为Excel表格。</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80</w:t>
                        </w:r>
                      </w:p>
                    </w:tc>
                    <w:tc>
                      <w:tcPr>
                        <w:tcW w:type="dxa" w:w="215"/>
                        <w:vMerge/>
                        <w:tcBorders>
                          <w:top w:val="none" w:color="000000" w:sz="4"/>
                          <w:left w:val="none" w:color="000000" w:sz="4"/>
                          <w:bottom w:val="single" w:color="000000" w:sz="4"/>
                          <w:right w:val="single" w:color="000000" w:sz="4"/>
                        </w:tcBorders>
                      </w:tcPr>
                      <w:p/>
                    </w:tc>
                    <w:tc>
                      <w:tcPr>
                        <w:tcW w:type="dxa" w:w="1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数据可视化</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监控大屏</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▲系统内置不少于10个监控大屏，提供多方位的监控统计和告警分析数据图表。（提供原厂商著作权复印件，著作权需涉及可视化报表设计、大屏开发涉及、可视化分析展示领域）</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81</w:t>
                        </w:r>
                      </w:p>
                    </w:tc>
                    <w:tc>
                      <w:tcPr>
                        <w:tcW w:type="dxa" w:w="21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统一门户管理</w:t>
                        </w:r>
                      </w:p>
                    </w:tc>
                    <w:tc>
                      <w:tcPr>
                        <w:tcW w:type="dxa" w:w="19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用户组织管理</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组织机构管理</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支持组织机构的新增、编辑和删除，自定义部门名称、上级部门、部门全称、所属片区、部门地址、标签、部门领导、分管领导。</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82</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用户管理</w:t>
                        </w:r>
                      </w:p>
                    </w:tc>
                    <w:tc>
                      <w:tcPr>
                        <w:tcW w:type="dxa" w:w="1222"/>
                        <w:gridSpan w:val="2"/>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支持用户新增、编辑和删除操作。</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83</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1146"/>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支持使用Excel用户导入，根据界面引导，先下载导入用户的模板，导入模板中包含组织机构层级关系，填写规则说明等信息；填写用户信息后，进行导入，导入后可根据不同的角色关联不同的权限。</w:t>
                        </w:r>
                      </w:p>
                    </w:tc>
                    <w:tc>
                      <w:tcPr>
                        <w:tcW w:type="dxa" w:w="76"/>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84</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1146"/>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支持同步企业微信、钉钉用户到本地。</w:t>
                        </w:r>
                      </w:p>
                    </w:tc>
                    <w:tc>
                      <w:tcPr>
                        <w:tcW w:type="dxa" w:w="76"/>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85</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1146"/>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支持回收站功能，删除的用户临时放入回收站,可以恢复或永久删除。</w:t>
                        </w:r>
                      </w:p>
                    </w:tc>
                    <w:tc>
                      <w:tcPr>
                        <w:tcW w:type="dxa" w:w="76"/>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86</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1146"/>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支持对用户进行编辑、详情查看、冻结和解冻操作。</w:t>
                        </w:r>
                      </w:p>
                    </w:tc>
                    <w:tc>
                      <w:tcPr>
                        <w:tcW w:type="dxa" w:w="76"/>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87</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1146"/>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支持通过关键字、角色、用户类型和用户状态搜索过滤用户。</w:t>
                        </w:r>
                      </w:p>
                    </w:tc>
                    <w:tc>
                      <w:tcPr>
                        <w:tcW w:type="dxa" w:w="76"/>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244"/>
                        <w:tcBorders>
                          <w:top w:val="none" w:color="000000" w:sz="4"/>
                          <w:left w:val="double" w:color="000000" w:sz="8"/>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88</w:t>
                        </w:r>
                      </w:p>
                    </w:tc>
                    <w:tc>
                      <w:tcPr>
                        <w:tcW w:type="dxa" w:w="215"/>
                        <w:vMerge/>
                        <w:tcBorders>
                          <w:top w:val="none" w:color="000000" w:sz="4"/>
                          <w:left w:val="none" w:color="000000" w:sz="4"/>
                          <w:bottom w:val="single" w:color="000000" w:sz="4"/>
                          <w:right w:val="single" w:color="000000" w:sz="4"/>
                        </w:tcBorders>
                      </w:tcPr>
                      <w:p/>
                    </w:tc>
                    <w:tc>
                      <w:tcPr>
                        <w:tcW w:type="dxa" w:w="191"/>
                        <w:vMerge/>
                        <w:tcBorders>
                          <w:top w:val="none" w:color="000000" w:sz="4"/>
                          <w:left w:val="non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1146"/>
                        <w:tcBorders>
                          <w:top w:val="none" w:color="000000" w:sz="4"/>
                          <w:left w:val="none" w:color="000000" w:sz="4"/>
                          <w:bottom w:val="single" w:color="000000" w:sz="4"/>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支持个性化多模态提醒：系统支持用户自定义设置，通过声音、弹窗、移动端推送等方式，利用跨平台消息推送技术，实时提醒工单处理进度，方便用户随时掌握工单动态。（提供原厂商著作权复印件，著作权需涉及消息统一管理、多渠道消息推送、智能告警管理领域）</w:t>
                        </w:r>
                      </w:p>
                    </w:tc>
                    <w:tc>
                      <w:tcPr>
                        <w:tcW w:type="dxa" w:w="76"/>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r>
                    <w:tc>
                      <w:tcPr>
                        <w:tcW w:type="dxa" w:w="244"/>
                        <w:tcBorders>
                          <w:top w:val="none" w:color="000000" w:sz="4"/>
                          <w:left w:val="double" w:color="000000" w:sz="8"/>
                          <w:bottom w:val="double" w:color="000000" w:sz="8"/>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89</w:t>
                        </w:r>
                      </w:p>
                    </w:tc>
                    <w:tc>
                      <w:tcPr>
                        <w:tcW w:type="dxa" w:w="215"/>
                        <w:tcBorders>
                          <w:top w:val="none" w:color="000000" w:sz="4"/>
                          <w:left w:val="none" w:color="000000" w:sz="4"/>
                          <w:bottom w:val="double" w:color="000000" w:sz="8"/>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服务</w:t>
                        </w:r>
                      </w:p>
                    </w:tc>
                    <w:tc>
                      <w:tcPr>
                        <w:tcW w:type="dxa" w:w="191"/>
                        <w:tcBorders>
                          <w:top w:val="none" w:color="000000" w:sz="4"/>
                          <w:left w:val="none" w:color="000000" w:sz="4"/>
                          <w:bottom w:val="double" w:color="000000" w:sz="8"/>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驻场服务</w:t>
                        </w:r>
                      </w:p>
                    </w:tc>
                    <w:tc>
                      <w:tcPr>
                        <w:tcW w:type="dxa" w:w="465"/>
                        <w:tcBorders>
                          <w:top w:val="none" w:color="000000" w:sz="4"/>
                          <w:left w:val="none" w:color="000000" w:sz="4"/>
                          <w:bottom w:val="double" w:color="000000" w:sz="8"/>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驻场服务</w:t>
                        </w:r>
                      </w:p>
                    </w:tc>
                    <w:tc>
                      <w:tcPr>
                        <w:tcW w:type="dxa" w:w="1146"/>
                        <w:tcBorders>
                          <w:top w:val="none" w:color="000000" w:sz="4"/>
                          <w:left w:val="none" w:color="000000" w:sz="4"/>
                          <w:bottom w:val="double" w:color="000000" w:sz="8"/>
                          <w:right w:val="double" w:color="000000" w:sz="8"/>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要求提供不少于2个人，3个月的驻场实施服务。驻场服务内容包括：项目的实施交付、现场人员培训、系统优化、系统巡检、系统安全加固等服务。</w:t>
                        </w:r>
                      </w:p>
                    </w:tc>
                    <w:tc>
                      <w:tcPr>
                        <w:tcW w:type="dxa" w:w="76"/>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rFonts w:ascii="仿宋_GB2312" w:hAnsi="仿宋_GB2312" w:cs="仿宋_GB2312" w:eastAsia="仿宋_GB2312"/>
                            <w:sz w:val="21"/>
                          </w:rPr>
                          <w:t xml:space="preserve"> </w:t>
                        </w:r>
                      </w:p>
                    </w:tc>
                  </w:tr>
                </w:tbl>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按照项目需求配置，项目经理需具备信息系统项目管理师高级证书、提供互联网医院厂家服务对接函、承诺具备履行合同的能力等。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按照项目需求配置，项目经理需具备信息系统项目管理师高级证书、承诺具备履行合同的能力等。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120个日历日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180个日历日。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渭南市中心医院指定位置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渭南市中心医院指定地点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(1)符合国家法律法规规定的标准、合同文本、竞争性磋商文件和竞争性磋商响应文件的要求。 (2)供应商完成全部项目内容，向采购人提交验收申请，约请采购人和有关部门（如有必要）进行验收。采购人自接到验收通知5日内，可采取全面验收和抽检验收方法组织验收，并办理验收、移交手续。如采购人不能在规定时间内组织验收，需及时通知供应商，另定验收日期。如采购人在验收过程中发现存在质量问题，应在验收后5日内以书面形式向供应商提出，供应商应自收到采购人书面异议后3日内及时予以回复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(1)符合国家法律法规规定的标准、合同文本、竞争性磋商文件和竞争性磋商响应文件的要求。 (2)供应商完成全部项目内容，向采购人提交验收申请，约请采购人和有关部门（如有必要）进行验收。采购人自接到验收通知5日内，可采取全面验收和抽检验收方法组织验收，并办理验收、移交手续。如采购人不能在规定时间内组织验收，需及时通知供应商，另定验收日期。如采购人在验收过程中发现存在质量问题，应在验收后5日内以书面形式向供应商提出，供应商应自收到采购人书面异议后3日内及时予以回复解决。</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进度款，项目实施完成，且初验收合格后，达到付款条件起30个工作日内，支付合同总金额的95.0%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进度款，试运行满1年后，经甲方终验收合格后，达到付款条件起30个工作日内，支付合同总金额的5.0%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进度款，项目实施完成，且初验收合格后，达到付款条件起30个工作日内，支付合同总金额的95.0%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进度款，试运行满1年后，经甲方终验收合格后，达到付款条件起30个工作日内，支付合同总金额的5.0%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中标人未按合同要求时间提交成果或成果质量不能满足服务要求，采购人有权要求中标人在合理期限内进行补充或修改，中标人补充或修改后仍不满足技术要求或限期内未进行修改的，采购人有权单方终止合同，并要求中标人向采购人支付合同总价款10%的违约金，同时报请监管部门对其违约行为进行追究。 3、本合同签订后，中标人无正当理由拒绝履行合同义务，经采购人催告后7日内仍不履行的，采购人可单方解除本合同，并要求中标人向采购人支付合同总价款10%的违约金。 4、甲方逾期支付乙方款项的，乙方可以要求甲方支付逾期支付的同期银行存款利息。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1、按照《中华人民共和国民法典》中的相关条款执行。 2、中标人未按合同要求时间提交成果或成果质量不能满足服务要求，采购人有权要求中标人在合理期限内进行补充或修改，中标人补充或修改后仍不满足技术要求或限期内未进行修改的，采购人有权单方终止合同，并要求中标人向采购人支付合同总价款10%的违约金，同时报请监管部门对其违约行为进行追究。 3、本合同签订后，中标人无正当理由拒绝履行合同义务，经采购人催告后7日内仍不履行的，采购人可单方解除本合同，并要求中标人向采购人支付合同总价款10%的违约金。 4、甲方逾期支付乙方款项的，乙方可以要求甲方支付逾期支付的同期银行存款利息。</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 自然人的身份证明; 2.提供缴费所属日期为投标文件递交截止时间前12个月内任一月份（投标文件递交截止时间当月不计入）的缴费凭据或税务机关出具的完税证明/在法规范围内不需提供的应出具书面说明和证明文件； /或具有依法缴纳税收的诚信声明； 以上二种形式的资料提供任何一种即可。 3.提供缴费所属日期为投标文件递交截止时间前12个月内任一月份（投标文件递交截止时间当月不计入）的缴费凭据或社保机关出具的缴费证明/在法规范围内不需提供的应出具书面说明和证明文件；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供应商应提供的资格证明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 自然人的身份证明; 2.提供缴费所属日期为投标文件递交截止时间前12个月内任一月份（投标文件递交截止时间当月不计入）的缴费凭据或税务机关出具的完税证明/在法规范围内不需提供的应出具书面说明和证明文件； /或具有依法缴纳税收的诚信声明； 以上二种形式的资料提供任何一种即可。 3.提供缴费所属日期为投标文件递交截止时间前12个月内任一月份（投标文件递交截止时间当月不计入）的缴费凭据或社保机关出具的缴费证明/在法规范围内不需提供的应出具书面说明和证明文件；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供应商应提供的资格证明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w:t>
            </w:r>
          </w:p>
        </w:tc>
        <w:tc>
          <w:tcPr>
            <w:tcW w:type="dxa" w:w="1661"/>
          </w:tcPr>
          <w:p>
            <w:pPr>
              <w:pStyle w:val="null3"/>
            </w:pPr>
            <w:r>
              <w:rPr>
                <w:rFonts w:ascii="仿宋_GB2312" w:hAnsi="仿宋_GB2312" w:cs="仿宋_GB2312" w:eastAsia="仿宋_GB2312"/>
              </w:rPr>
              <w:t>供应商应提供的资格证明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供应商应提供的资格证明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w:t>
            </w:r>
          </w:p>
        </w:tc>
        <w:tc>
          <w:tcPr>
            <w:tcW w:type="dxa" w:w="1661"/>
          </w:tcPr>
          <w:p>
            <w:pPr>
              <w:pStyle w:val="null3"/>
            </w:pPr>
            <w:r>
              <w:rPr>
                <w:rFonts w:ascii="仿宋_GB2312" w:hAnsi="仿宋_GB2312" w:cs="仿宋_GB2312" w:eastAsia="仿宋_GB2312"/>
              </w:rPr>
              <w:t>供应商应提供的资格证明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供应商应提供的资格证明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供应商应提供的资格证明 中小企业声明函 残疾人福利性单位声明函 商务应答表 服务方案 标的清单 服务内容及服务要求应答表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1.磋商响应文件中要求法定代表人或其授权代表人签字或签章的地方具有相应签字或签章；要求加盖公章的地方加盖有公章； 2.只能有一个有效报价，不得提交选择性报价，且报价不超过采购预算金额或最高限价； 3.不存在磋商文件及法律法规规定的无效情形。</w:t>
            </w:r>
          </w:p>
        </w:tc>
        <w:tc>
          <w:tcPr>
            <w:tcW w:type="dxa" w:w="1661"/>
          </w:tcPr>
          <w:p>
            <w:pPr>
              <w:pStyle w:val="null3"/>
            </w:pPr>
            <w:r>
              <w:rPr>
                <w:rFonts w:ascii="仿宋_GB2312" w:hAnsi="仿宋_GB2312" w:cs="仿宋_GB2312" w:eastAsia="仿宋_GB2312"/>
              </w:rPr>
              <w:t>响应文件封面 供应商应提供的资格证明 中小企业声明函 残疾人福利性单位声明函 商务应答表 服务方案 标的清单 服务内容及服务要求应答表 报价表 响应函 其他证明文件格式.docx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1、磋商响应文件包含报价表、响应函、服务方案；2、磋商报价完整，不得只对采购需求部分内容进行报价。</w:t>
            </w:r>
          </w:p>
        </w:tc>
        <w:tc>
          <w:tcPr>
            <w:tcW w:type="dxa" w:w="1661"/>
          </w:tcPr>
          <w:p>
            <w:pPr>
              <w:pStyle w:val="null3"/>
            </w:pPr>
            <w:r>
              <w:rPr>
                <w:rFonts w:ascii="仿宋_GB2312" w:hAnsi="仿宋_GB2312" w:cs="仿宋_GB2312" w:eastAsia="仿宋_GB2312"/>
              </w:rPr>
              <w:t>响应文件封面 供应商应提供的资格证明 中小企业声明函 残疾人福利性单位声明函 商务应答表 服务方案 标的清单 服务内容及服务要求应答表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1.响应磋商文件的所有实质性条款； 2. 磋商有效期应满足磋商文件中的规定。</w:t>
            </w:r>
          </w:p>
        </w:tc>
        <w:tc>
          <w:tcPr>
            <w:tcW w:type="dxa" w:w="1661"/>
          </w:tcPr>
          <w:p>
            <w:pPr>
              <w:pStyle w:val="null3"/>
            </w:pPr>
            <w:r>
              <w:rPr>
                <w:rFonts w:ascii="仿宋_GB2312" w:hAnsi="仿宋_GB2312" w:cs="仿宋_GB2312" w:eastAsia="仿宋_GB2312"/>
              </w:rPr>
              <w:t>响应文件封面 供应商应提供的资格证明 中小企业声明函 残疾人福利性单位声明函 商务应答表 服务方案 标的清单 服务内容及服务要求应答表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供应商应提供的资格证明 中小企业声明函 残疾人福利性单位声明函 商务应答表 服务方案 标的清单 服务内容及服务要求应答表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1.磋商响应文件中要求法定代表人或其授权代表人签字或签章的地方具有相应签字或签章；要求加盖公章的地方加盖有公章； 2.只能有一个有效报价，不得提交选择性报价，且报价不超过采购预算金额或最高限价； 3.不存在磋商文件及法律法规规定的无效情形。</w:t>
            </w:r>
          </w:p>
        </w:tc>
        <w:tc>
          <w:tcPr>
            <w:tcW w:type="dxa" w:w="1661"/>
          </w:tcPr>
          <w:p>
            <w:pPr>
              <w:pStyle w:val="null3"/>
            </w:pPr>
            <w:r>
              <w:rPr>
                <w:rFonts w:ascii="仿宋_GB2312" w:hAnsi="仿宋_GB2312" w:cs="仿宋_GB2312" w:eastAsia="仿宋_GB2312"/>
              </w:rPr>
              <w:t>响应文件封面 供应商应提供的资格证明 中小企业声明函 残疾人福利性单位声明函 商务应答表 服务方案 标的清单 服务内容及服务要求应答表 报价表 响应函 其他证明文件格式.docx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1、磋商响应文件包含报价表、响应函、服务方案；2、磋商报价完整，不得只对采购需求部分内容进行报价。</w:t>
            </w:r>
          </w:p>
        </w:tc>
        <w:tc>
          <w:tcPr>
            <w:tcW w:type="dxa" w:w="1661"/>
          </w:tcPr>
          <w:p>
            <w:pPr>
              <w:pStyle w:val="null3"/>
            </w:pPr>
            <w:r>
              <w:rPr>
                <w:rFonts w:ascii="仿宋_GB2312" w:hAnsi="仿宋_GB2312" w:cs="仿宋_GB2312" w:eastAsia="仿宋_GB2312"/>
              </w:rPr>
              <w:t>响应文件封面 供应商应提供的资格证明 中小企业声明函 残疾人福利性单位声明函 商务应答表 服务方案 标的清单 服务内容及服务要求应答表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1.响应磋商文件的所有实质性条款； 2. 磋商有效期应满足磋商文件中的规定。</w:t>
            </w:r>
          </w:p>
        </w:tc>
        <w:tc>
          <w:tcPr>
            <w:tcW w:type="dxa" w:w="1661"/>
          </w:tcPr>
          <w:p>
            <w:pPr>
              <w:pStyle w:val="null3"/>
            </w:pPr>
            <w:r>
              <w:rPr>
                <w:rFonts w:ascii="仿宋_GB2312" w:hAnsi="仿宋_GB2312" w:cs="仿宋_GB2312" w:eastAsia="仿宋_GB2312"/>
              </w:rPr>
              <w:t>响应文件封面 供应商应提供的资格证明 中小企业声明函 残疾人福利性单位声明函 商务应答表 服务方案 标的清单 服务内容及服务要求应答表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1.技术指标和功能全部满足磋商文件要求,得20分； 2.技术要求中的技术指标和功能，未标注▲和★的任何一项低于要求或不具备，扣1分；标注▲任何一项低于或不具备扣2分，20分扣完为止，不计负分。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提供项目实施方案包含：①拟投入本项目的人员配备、职责分工安排、技术能力；②实施进度及进度保障措施；③系统升级、对接；④系统及数据安全保障措施；⑤保密措施；⑥应急措施及合理化建议。 二、评审标准： ①完整性：方案须全面，对评审内容中的各项要求有详细描述； ②可实施性：切合本项目实际情况，实施步骤清晰、合理； ③针对性：方案能够紧扣项目实际情况，内容科学合理。 三、赋分标准： 每一项评审内容满足每一项评审标准得1分，最多得18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⑤内容存在逻辑错误，表述存在漏洞。 注：未提供相关内容不得分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一、评审内容：提供完整、可行的培训方案包括：①具体培训方式、培训时间、地点安排；②培训人员经验及能力情况；③培训具体内容安排。 二、评审标准： ①完整性：方案须全面，对评审内容中的各项要求有详细描述；②可实施性：切合本项目实际情况，实施步骤清晰、合理；③针对性：方案能够紧扣项目实际情况，内容科学合理。 三、赋分标准： 每一项评审内容满足每一项评审标准得0.5分，最多得4.5分；每一项内容相对每一项评审标准存在一处漏洞或缺陷扣0.1分，0.5分扣完为止；此处缺陷和漏洞是指：①有内容但不够全面，有遗漏、有缺失；②有内容但不够详细，简单粗略，描述含糊；③内容不够合理，不贴合项目实际情况；④内容未针对本项目，明显不符；⑤内容存在逻辑错误，表述存在漏洞。 注：未提供相关内容不得分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提供详细完整的售后服务方案。包含但不限于：①售后服务专职人员安排及承诺②日常维护以及后期服务的响应时间；③售后服务保障体系（包含不能完全履行服务要求时愿意接受相关处罚的承诺）。 二、评审标准： ①完整性：方案须全面，对评审内容中的各项要求有详细描述； ②可实施性：切合本项目实际情况，实施步骤清晰、合理； ③针对性：方案能够紧扣项目实际情况，内容科学合理。 三、赋分标准： 每一项评审内容满足每一项评审标准得0.5分，最多得4.5分；每一项内容相对每一项评审标准存在一处漏洞或缺陷扣0.1分，0.5分扣完为止；此处缺陷和漏洞是指：①有内容但不够全面，有遗漏、有缺失；②有内容但不够详细，简单粗略，描述含糊；③内容不够合理，不贴合项目实际情况；④内容未针对本项目，明显不符；⑤内容存在逻辑错误，表述存在漏洞。 注：未提供相关内容不得分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企业及项目履约能力证明</w:t>
            </w:r>
          </w:p>
        </w:tc>
        <w:tc>
          <w:tcPr>
            <w:tcW w:type="dxa" w:w="2492"/>
          </w:tcPr>
          <w:p>
            <w:pPr>
              <w:pStyle w:val="null3"/>
            </w:pPr>
            <w:r>
              <w:rPr>
                <w:rFonts w:ascii="仿宋_GB2312" w:hAnsi="仿宋_GB2312" w:cs="仿宋_GB2312" w:eastAsia="仿宋_GB2312"/>
              </w:rPr>
              <w:t>1.供应商为本项目配备的项目经理须具备信息系统项目管理师高级证书。提供人员技术证书、对应工程师的身份证及持证人员的劳动关系证明（磋商前三个月任意一个月的社保缴纳证明，磋商当月不算），满足要求得6分，不提供或者提供不满足者不得分。 2.供应商需提供采购方互联网医院厂家与数据库系统的系统测试报告和兼容性证明文件以及对接服务承诺函。提供者得6分，不提供不得。</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质保期满足招标文件3年的基础上每多1年加1分，最多加2分。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供应商提供2023年以来类似项目业绩合同（以合同签订时间为准），每份业绩计3分，满分9分。（注：以上证明文件在响应文件中附业绩合同扫描件并加盖公司公章。）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1.价格分统一采用低价优先法计算，既满足磋商文件要求且最后报价最低的供应商的价格为磋商基准价，其价格分为满分； 2.其他供应商的价格分统一按照下列公式计算： 磋商报价得分=（磋商基准价/最后磋商报价）×30。 3.供应商享受相关价格优惠政策的，优惠后的价格作为其磋商报价参与计算。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1.技术指标和功能全部满足磋商文件要求,得20分； 2.技术要求中的技术指标和功能，未标注▲和★的任何一项低于要求或不具备，扣1分；标注▲任何一项低于或不具备扣2分，20分扣完为止，不计负分。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供应商应提供的资格证明</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提供项目实施方案包含：①平台整体架构、子系统功能实现；②实施进度及进度保障措施；③实施过程系统质量保证措施；④系统稳定及数据安全保障措施；⑤保密措施；⑥应急措施及合理化建议。 二、评审标准： ①完整性：方案须全面，对评审内容中的各项要求有详细描述； ②可实施性：切合本项目实际情况，实施步骤清晰、合理； ③针对性：方案能够紧扣项目实际情况，内容科学合理。 三、赋分标准： 每一项评审内容满足每一项评审标准得1分，最多得18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⑤内容存在逻辑错误，表述存在漏洞。 注：未提供相关内容不得分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供应商应提供的资格证明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一、评审内容：提供完整、可行的培训方案包括：①具体培训方式、培训时间、地点安排；②培训人员经验及能力情况；③培训具体内容安排。 二、评审标准： ①完整性：方案须全面，对评审内容中的各项要求有详细描述；②可实施性：切合本项目实际情况，实施步骤清晰、合理；③针对性：方案能够紧扣项目实际情况，内容科学合理。 三、赋分标准： 每一项评审内容满足每一项评审标准得0.5分，最多得4.5分；每一项内容相对每一项评审标准存在一处漏洞或缺陷扣0.1分，0.5分扣完为止；此处缺陷和漏洞是指：①有内容但不够全面，有遗漏、有缺失；②有内容但不够详细，简单粗略，描述含糊；③内容不够合理，不贴合项目实际情况；④内容未针对本项目，明显不符；⑤内容存在逻辑错误，表述存在漏洞。 注：未提供相关内容不得分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供应商应提供的资格证明</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提供详细完整的售后服务方案。包含但不限于：①售后服务专职人员安排及承诺②日常维护以及后期服务的响应时间；③售后服务保障体系（包含不能完全履行服务要求时愿意接受相关处罚的承诺）。 二、评审标准： ①完整性：方案须全面，对评审内容中的各项要求有详细描述； ②可实施性：切合本项目实际情况，实施步骤清晰、合理； ③针对性：方案能够紧扣项目实际情况，内容科学合理。 三、赋分标准： 每一项评审内容满足每一项评审标准得0.5分，最多得4.5分；每一项内容相对每一项评审标准存在一处漏洞或缺陷扣0.1分，0.5分扣完为止；此处缺陷和漏洞是指：①有内容但不够全面，有遗漏、有缺失；②有内容但不够详细，简单粗略，描述含糊；③内容不够合理，不贴合项目实际情况；④内容未针对本项目，明显不符；⑤内容存在逻辑错误，表述存在漏洞。 注：未提供相关内容不得分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供应商应提供的资格证明</w:t>
            </w:r>
          </w:p>
        </w:tc>
      </w:tr>
      <w:tr>
        <w:tc>
          <w:tcPr>
            <w:tcW w:type="dxa" w:w="831"/>
            <w:vMerge/>
          </w:tcPr>
          <w:p/>
        </w:tc>
        <w:tc>
          <w:tcPr>
            <w:tcW w:type="dxa" w:w="1661"/>
          </w:tcPr>
          <w:p>
            <w:pPr>
              <w:pStyle w:val="null3"/>
            </w:pPr>
            <w:r>
              <w:rPr>
                <w:rFonts w:ascii="仿宋_GB2312" w:hAnsi="仿宋_GB2312" w:cs="仿宋_GB2312" w:eastAsia="仿宋_GB2312"/>
              </w:rPr>
              <w:t>企业及项目履约能力证明</w:t>
            </w:r>
          </w:p>
        </w:tc>
        <w:tc>
          <w:tcPr>
            <w:tcW w:type="dxa" w:w="2492"/>
          </w:tcPr>
          <w:p>
            <w:pPr>
              <w:pStyle w:val="null3"/>
            </w:pPr>
            <w:r>
              <w:rPr>
                <w:rFonts w:ascii="仿宋_GB2312" w:hAnsi="仿宋_GB2312" w:cs="仿宋_GB2312" w:eastAsia="仿宋_GB2312"/>
              </w:rPr>
              <w:t>1.供应商为本项目配备的项目经理须具备信息系统项目管理师高级证书。提供人员技术证书、对应工程师的身份证复印件及持证人员劳动关系证明（磋商前三个月任意一个月的社保缴纳证明，磋商当月不算），满足要求得6分，不提供或者不满足者不得分。 2.供应商为本项目配备的项目成员至少一人须具备ITSS和数据库技术证书。须提供人员身份证复印件、相关职称或资格证书复印件及持证人员劳动关系证明（磋商前三个月任意一个月的社保缴纳证明，磋商当月不算），得2分。 3.供应商具备与本项目有关的软件著作权证书，软件著作权证书中可以体现“可视化”、“应用监控”或类似关键字，每提供一个著作权得1分，满分3分。 以上证书及身份证、著作权不提供或者不满足的不得分，原件备查。</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供应商应提供的资格证明</w:t>
            </w:r>
          </w:p>
        </w:tc>
      </w:tr>
      <w:tr>
        <w:tc>
          <w:tcPr>
            <w:tcW w:type="dxa" w:w="831"/>
            <w:vMerge/>
          </w:tcPr>
          <w:p/>
        </w:tc>
        <w:tc>
          <w:tcPr>
            <w:tcW w:type="dxa" w:w="1661"/>
          </w:tcPr>
          <w:p>
            <w:pPr>
              <w:pStyle w:val="null3"/>
            </w:pPr>
            <w:r>
              <w:rPr>
                <w:rFonts w:ascii="仿宋_GB2312" w:hAnsi="仿宋_GB2312" w:cs="仿宋_GB2312" w:eastAsia="仿宋_GB2312"/>
              </w:rPr>
              <w:t>承诺书</w:t>
            </w:r>
          </w:p>
        </w:tc>
        <w:tc>
          <w:tcPr>
            <w:tcW w:type="dxa" w:w="2492"/>
          </w:tcPr>
          <w:p>
            <w:pPr>
              <w:pStyle w:val="null3"/>
            </w:pPr>
            <w:r>
              <w:rPr>
                <w:rFonts w:ascii="仿宋_GB2312" w:hAnsi="仿宋_GB2312" w:cs="仿宋_GB2312" w:eastAsia="仿宋_GB2312"/>
              </w:rPr>
              <w:t>供应商承诺提供不少于2个人，3个月的驻场实施服务，驻场服务内容包括：项目的实施交付、现场人员培训、系统优化、系统巡检、系统安全加固等服务；并提供驻场人员姓名、联系方式、职称证书或职业技能证书、劳动关系证明（劳动合同或社保证明），提供承诺函及人员资料得2分，未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供应商应提供的资格证明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提供应商或产品厂家提供2023年以来类似项目业绩合同（以合同签订时间为准），每份业绩计2分，满分10分。（注：以上证明文件在响应文件中附业绩合同扫描件并加盖公司公章。）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供应商应提供的资格证明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1.价格分统一采用低价优先法计算，既满足磋商文件要求且最后报价最低的供应商的价格为磋商基准价，其价格分为满分； 2.其他供应商的价格分统一按照下列公式计算： 磋商报价得分=（磋商基准价/最后磋商报价）×30。 3.供应商享受相关价格优惠政策的，优惠后的价格作为其磋商报价参与计算。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详见附件：其他证明文件格式.docx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详见附件：其他证明文件格式.docx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