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版本号：ZYGJ-HZZC-263520260814001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2026年度西乡县两河口镇柏树垭村牛场建设项目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ZYGJ-HZZC-2635</w:t>
      </w:r>
      <w:r>
        <w:br/>
      </w:r>
      <w:r>
        <w:br/>
      </w:r>
      <w:r>
        <w:br/>
      </w:r>
    </w:p>
    <w:p>
      <w:pPr>
        <w:pStyle w:val="null3"/>
        <w:jc w:val="center"/>
        <w:outlineLvl w:val="2"/>
      </w:pPr>
      <w:r>
        <w:rPr>
          <w:rFonts w:ascii="仿宋_GB2312" w:hAnsi="仿宋_GB2312" w:cs="仿宋_GB2312" w:eastAsia="仿宋_GB2312"/>
          <w:sz w:val="28"/>
          <w:b/>
        </w:rPr>
        <w:t>西乡县两河口镇人民政府</w:t>
      </w:r>
    </w:p>
    <w:p>
      <w:pPr>
        <w:pStyle w:val="null3"/>
        <w:jc w:val="center"/>
        <w:outlineLvl w:val="2"/>
      </w:pPr>
      <w:r>
        <w:rPr>
          <w:rFonts w:ascii="仿宋_GB2312" w:hAnsi="仿宋_GB2312" w:cs="仿宋_GB2312" w:eastAsia="仿宋_GB2312"/>
          <w:sz w:val="28"/>
          <w:b/>
        </w:rPr>
        <w:t>众赢国际咨询有限责任公司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众赢国际咨询有限责任公司</w:t>
      </w:r>
      <w:r>
        <w:rPr>
          <w:rFonts w:ascii="仿宋_GB2312" w:hAnsi="仿宋_GB2312" w:cs="仿宋_GB2312" w:eastAsia="仿宋_GB2312"/>
        </w:rPr>
        <w:t>（以下简称“代理机构”）受</w:t>
      </w:r>
      <w:r>
        <w:rPr>
          <w:rFonts w:ascii="仿宋_GB2312" w:hAnsi="仿宋_GB2312" w:cs="仿宋_GB2312" w:eastAsia="仿宋_GB2312"/>
        </w:rPr>
        <w:t>西乡县两河口镇人民政府</w:t>
      </w:r>
      <w:r>
        <w:rPr>
          <w:rFonts w:ascii="仿宋_GB2312" w:hAnsi="仿宋_GB2312" w:cs="仿宋_GB2312" w:eastAsia="仿宋_GB2312"/>
        </w:rPr>
        <w:t>委托，拟对</w:t>
      </w:r>
      <w:r>
        <w:rPr>
          <w:rFonts w:ascii="仿宋_GB2312" w:hAnsi="仿宋_GB2312" w:cs="仿宋_GB2312" w:eastAsia="仿宋_GB2312"/>
        </w:rPr>
        <w:t>2026年度西乡县两河口镇柏树垭村牛场建设项目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ZYGJ-HZZC-2635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2026年度西乡县两河口镇柏树垭村牛场建设项目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新建肉牛养殖场1个，建圈舍1000平方米，购置加工设备2套，建设生产用房400平方米，新建化粪池1座，新建排污管道100米，水电等配套设施建设。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1、供应商资格：供应商须为具有独立承担民事责任能力的法人、其他组织或自然人;出具合法有效的营业执照或事业单位法人证书等国家规定的相关证明，自然人参与的提供其身份证明。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2、供应商代表身份证明：法定代表人直接参加投标的，须出具法人身份证；法定代表人授权代表参加投标的，须出具法定代表人授权书及授权代表身份证；</w:t>
      </w:r>
    </w:p>
    <w:p>
      <w:pPr>
        <w:pStyle w:val="null3"/>
      </w:pPr>
      <w:r>
        <w:rPr>
          <w:rFonts w:ascii="仿宋_GB2312" w:hAnsi="仿宋_GB2312" w:cs="仿宋_GB2312" w:eastAsia="仿宋_GB2312"/>
        </w:rPr>
        <w:t>3、供应商资质：供应商具备具备建设⾏政主管部⻔核发建筑⼯程总承包三级及以上资质和有效的安全⽣产许可证，并在⼈员、设备、资⾦等⽅⾯具有相应的施⼯能⼒；</w:t>
      </w:r>
    </w:p>
    <w:p>
      <w:pPr>
        <w:pStyle w:val="null3"/>
      </w:pPr>
      <w:r>
        <w:rPr>
          <w:rFonts w:ascii="仿宋_GB2312" w:hAnsi="仿宋_GB2312" w:cs="仿宋_GB2312" w:eastAsia="仿宋_GB2312"/>
        </w:rPr>
        <w:t>4、项⽬负责⼈资质：拟委派项⽬负责⼈须具有建筑⼯程专业贰级（含）及以上注册建造师资质，近六个⽉任意⼀⽉社保缴纳证明，并具有有效的安全⽣产考核合格证（建安B证），在本单位注册且⽆在建⼯程</w:t>
      </w:r>
    </w:p>
    <w:p>
      <w:pPr>
        <w:pStyle w:val="null3"/>
      </w:pPr>
      <w:r>
        <w:rPr>
          <w:rFonts w:ascii="仿宋_GB2312" w:hAnsi="仿宋_GB2312" w:cs="仿宋_GB2312" w:eastAsia="仿宋_GB2312"/>
        </w:rPr>
        <w:t>5、信誉资格条件：具有良好的商业信誉和健全的财务会计制度,具有履⾏合同所必需的设备和专业技术能⼒，具有依法缴纳税收和社会保障⾦的良好记录，参加本项⽬采购活动前三年内⽆重⼤违法活动记录 ，未列⼊在信⽤中国⽹站“失信被执⾏⼈”、“重⼤税收违法案件当事⼈名单”中(www.creditchina.gov.cn)，也未列⼊中国政府采购⽹“政府采购严重违法失信⾏为记录名单”中www. ccgp. gov.cn )，供应商应按照汉中市财政局《关于全⾯推⾏政府采购供应商基本资格条件承诺制的通知》（汉采办采管〔2024〕20号）⽂件要求，提供资格承诺函；（承诺函模板详⻅磋商⽂件格式）</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西乡县两河口镇人民政府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西乡县两河口镇两河口镇街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西乡县两河口镇人民政府经办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17729167193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众赢国际咨询有限责任公司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陕西省汉中市汉台区悦景湾门面房四单元二楼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13571689415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采购包1：1,453,515.28元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代理服务费收费标准：参见国家计委颁布的《招标代理服务收费管理暂行办法》（计价格[2002]1980号）规定的招标代理服务收费标准收取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西乡县两河口镇人民政府</w:t>
      </w:r>
      <w:r>
        <w:rPr>
          <w:rFonts w:ascii="仿宋_GB2312" w:hAnsi="仿宋_GB2312" w:cs="仿宋_GB2312" w:eastAsia="仿宋_GB2312"/>
        </w:rPr>
        <w:t>和</w:t>
      </w:r>
      <w:r>
        <w:rPr>
          <w:rFonts w:ascii="仿宋_GB2312" w:hAnsi="仿宋_GB2312" w:cs="仿宋_GB2312" w:eastAsia="仿宋_GB2312"/>
        </w:rPr>
        <w:t>众赢国际咨询有限责任公司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西乡县两河口镇人民政府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众赢国际咨询有限责任公司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西乡县两河口镇人民政府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众赢国际咨询有限责任公司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由成交供应商承担本次项⽬所涉及的相关知识产权⻛险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政府采购相关法律法规以及《财政部关于进一步加强政府采购需求和履约验收管理的指导意见》（财库﹝2016﹞205号）的要求、招标文件的技术要求、商务要求、供应商的投标文件承诺以及合同约定标准，通过相关部门组织的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联系人：刘先生</w:t>
      </w:r>
    </w:p>
    <w:p>
      <w:pPr>
        <w:pStyle w:val="null3"/>
      </w:pPr>
      <w:r>
        <w:rPr>
          <w:rFonts w:ascii="仿宋_GB2312" w:hAnsi="仿宋_GB2312" w:cs="仿宋_GB2312" w:eastAsia="仿宋_GB2312"/>
        </w:rPr>
        <w:t>联系电话：13571689415</w:t>
      </w:r>
    </w:p>
    <w:p>
      <w:pPr>
        <w:pStyle w:val="null3"/>
      </w:pPr>
      <w:r>
        <w:rPr>
          <w:rFonts w:ascii="仿宋_GB2312" w:hAnsi="仿宋_GB2312" w:cs="仿宋_GB2312" w:eastAsia="仿宋_GB2312"/>
        </w:rPr>
        <w:t>地址：陕西省汉中市汉台区悦景湾门面房四单元二楼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1,453,515.28</w:t>
      </w:r>
    </w:p>
    <w:p>
      <w:pPr>
        <w:pStyle w:val="null3"/>
      </w:pPr>
      <w:r>
        <w:rPr>
          <w:rFonts w:ascii="仿宋_GB2312" w:hAnsi="仿宋_GB2312" w:cs="仿宋_GB2312" w:eastAsia="仿宋_GB2312"/>
        </w:rPr>
        <w:t>采购包最高限价（元）: 1,453,515.28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养牛场用房及配套设施建设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1,453,515.28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标的名称：养牛场用房及配套设施建设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工程施工质量达到国家验收合格标准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施工范围：工程量清单内所含的全部内容</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90日历天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质保期不少于12个月，质保范围为全部施工内容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1份，电子版文件2份（以U盘为载体，签字盖章扫描后的PDF版本响应文件）。纸质响应文件均须A4纸打印，分别各自装订成册。线下递交响应文件地点：汉中市汉台区悦景湾门面房四单元二楼。 3.如磋商文件中融资相关内容与新政策要求有出入，按照最新要求执行。 4、工程款支付方式：分期付款。 5、合同付款方式： 5.1、付款条件说明：施工合同签订，人员机械进场后，达到付款条件起10日内，支付合同总金额的30.00%。 5.2、付款条件说明：按期完成半程进度计划，达到付款条件起10日内，支付合同总金额的20.00%。 5.3、付款条件说明：竣工验收合格，达到付款条件起10日内，支付合同总金额的30.00%。 5.4、付款条件说明：工程经结算审计结束后，按照结算审计结果支付。达到付款条件起10日内，支付合同总金额的20.00%。 6、支付说明：以上款项支付均在达到支付条件后循序采购人财务规定及流程，以采购人财务账户向成交供应商政府采购网备案合同的银行账户转账支付。 7、合同违约责任与解决争议的方法：因违约或终止合同而引起的损失和损害的赔偿，委托单位与供应商之间应当协商解决;如未能达成一致，协商或调解不成的，根据双方约定提交仲裁，或向项目所在地人民法院提起诉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供应商须为具有独立承担民事责任能力的法人、其他组织或自然人;出具合法有效的营业执照或事业单位法人证书等国家规定的相关证明，自然人参与的提供其身份证明。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法定代表人直接参加投标的，须出具法人身份证；法定代表人授权代表参加投标的，须出具法定代表人授权书及授权代表身份证；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供应商具备具备建设⾏政主管部⻔核发建筑⼯程总承包三级及以上资质和有效的安全⽣产许可证，并在⼈员、设备、资⾦等⽅⾯具有相应的施⼯能⼒；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项⽬负责⼈资质</w:t>
            </w:r>
          </w:p>
        </w:tc>
        <w:tc>
          <w:tcPr>
            <w:tcW w:type="dxa" w:w="3322"/>
          </w:tcPr>
          <w:p>
            <w:pPr>
              <w:pStyle w:val="null3"/>
            </w:pPr>
            <w:r>
              <w:rPr>
                <w:rFonts w:ascii="仿宋_GB2312" w:hAnsi="仿宋_GB2312" w:cs="仿宋_GB2312" w:eastAsia="仿宋_GB2312"/>
              </w:rPr>
              <w:t>拟委派项⽬负责⼈须具有建筑⼯程专业贰级（含）及以上注册建造师资质，近六个⽉任意⼀⽉社保缴纳证明，并具有有效的安全⽣产考核合格证（建安B证），在本单位注册且⽆在建⼯程</w:t>
            </w:r>
          </w:p>
        </w:tc>
        <w:tc>
          <w:tcPr>
            <w:tcW w:type="dxa" w:w="1661"/>
          </w:tcPr>
          <w:p>
            <w:pPr>
              <w:pStyle w:val="null3"/>
            </w:pPr>
            <w:r>
              <w:rPr>
                <w:rFonts w:ascii="仿宋_GB2312" w:hAnsi="仿宋_GB2312" w:cs="仿宋_GB2312" w:eastAsia="仿宋_GB2312"/>
              </w:rPr>
              <w:t>供应商应提交的相关资格证明材料.docx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信誉资格条件</w:t>
            </w:r>
          </w:p>
        </w:tc>
        <w:tc>
          <w:tcPr>
            <w:tcW w:type="dxa" w:w="3322"/>
          </w:tcPr>
          <w:p>
            <w:pPr>
              <w:pStyle w:val="null3"/>
            </w:pPr>
            <w:r>
              <w:rPr>
                <w:rFonts w:ascii="仿宋_GB2312" w:hAnsi="仿宋_GB2312" w:cs="仿宋_GB2312" w:eastAsia="仿宋_GB2312"/>
              </w:rPr>
              <w:t>具有良好的商业信誉和健全的财务会计制度,具有履⾏合同所必需的设备和专业技术能⼒，具有依法缴纳税收和社会保障⾦的良好记录，参加本项⽬采购活动前三年内⽆重⼤违法活动记录 ，未列⼊在信⽤中国⽹站“失信被执⾏⼈”、“重⼤税收违法案件当事⼈名单”中(www.creditchina.gov.cn)，也未列⼊中国政府采购⽹“政府采购严重违法失信⾏为记录名单”中www. ccgp. gov.cn )，供应商应按照汉中市财政局《关于全⾯推⾏政府采购供应商基本资格条件承诺制的通知》（汉采办采管〔2024〕20号）⽂件要求，提供资格承诺函；（承诺函模板详⻅磋商⽂件格式）</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响应文件中未按照磋商文件规定要求签字、盖章的</w:t>
            </w:r>
          </w:p>
        </w:tc>
        <w:tc>
          <w:tcPr>
            <w:tcW w:type="dxa" w:w="1661"/>
          </w:tcPr>
          <w:p>
            <w:pPr>
              <w:pStyle w:val="null3"/>
            </w:pPr>
            <w:r>
              <w:rPr>
                <w:rFonts w:ascii="仿宋_GB2312" w:hAnsi="仿宋_GB2312" w:cs="仿宋_GB2312" w:eastAsia="仿宋_GB2312"/>
              </w:rPr>
              <w:t>响应文件封面 已标价工程量清单 报价函 响应函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投标报价超过磋商文件中规定的采购预算或最高限价或标的金额的。</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不满足磋商文件中实质性条款要求的。</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响应文件含有采购人不能接受的附加条件的或其他情形。</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1施工准备及总体概述;2施工平面布置;3项目总体部署;4施工方法;评审标准:各项内容全面详细、阐述条理清晰详尽、符合本项目采购需求、对项目的理解准确、针对性强能有效保障本项目实施得12分;每缺一项扣3分，每一项内容存在缺陷，扣1.5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内容包括但不限于①工程质量目标；②工程质量保证措施；③工程质量控制体系； ④质量管理机构职责等。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 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内容包括但不限于①文明保护及环境保护施工管理制度；②文明施工现场管理； ③防尘降噪、治污减霾、节能减排措施等。评审标准：各项内容全面详细 、阐述条理清晰详尽、符合本项目 采购需求、对项目的理解准确、针对性强能有效保障本项目实施得6分；每缺一项扣2分，每一项内容 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内容包括但不限于①工期进度安排计划；②工期保证措施； ③机械设备投入计划； ④材料投入计划；⑤ 施工计划进度图等。评审标准：各项内容全面详细、阐述条理清晰详尽、符合本项目采购需求、对项目 的理解准确、针对性强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根据本项目实际需求，对降低工程造价及缩短施工周期提供合理化建议。评审标准：各项内容全面详细、阐述条理清晰详尽、符合本项目采购需求、能有效保障本项目实施得4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内容包括但不限于①项目管理机构；②岗位安排及职责（配备技术人员、施工员、安全员、资料员、 材料员、质量员等）配备齐全。提供人员身份证、学历证、岗位证证明；③劳动力保证措施；④劳动力计划表等。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月1日至今完成的类似业绩证明，每提供一份得3分，最高得6分； 注：业绩须是供应商完成的类似项目，提供中标通知书、协议书（合同）扫描件或加盖公章的复印件，否则不作为加分项。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供应商及项目经理类似项目业绩一览表.docx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1、具备工程类中级及以上职称得1分，中级职称以下不得分； 评审依据：以申请人职称原件或电子证件为准；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3、至少提供2023年1月1日至今类似业绩证明，得3分。 （注：业绩须是供应商项目经理完成的类似项目，提供中标通知书、协议书（合同）加盖公章的复印件，否则不得分。项目经理业绩不能作为企业业绩同时使用）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供应商及项目经理类似项目业绩一览表.docx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价格分统一采用低价优先法计算，即满足磋商文件要求且磋商价格最低（通过异常低价审查）的报价为评标基准价，其价格分为满分。其他供应商的价格分统一按照下列公式计算：价格分= (评标基准价／磋商报价)×30。 注：价格得分以供应商最后报价为计算依据，结果 四舍五入保留小数点后两位。供应商不得以低于成本的报价参与磋商。经符合性审查合格的响应文件，出现下列情形之一的，评审委员会应当启动异常低价审查程序：（1）报价低于全部合格供应商报价平均值的 50%；（2）报价低于全部合格供应商次低报价的 50%；（3）报价低于本项目最高限价的 45%；（4）评审委员会认为可能影响项目质量或履约的其他情形。 本项目异常低价审查的具体程序、举证要求及处理标准，严格按照《财政部关于推动解决政府采购异常低价问题的通知》（财库〔2026〕2号）执行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详见附件：供应商及项目经理类似项目业绩一览表.docx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详见附件：施工组织方案.docx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