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版本号：SYCG-CS-2603020260823001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三原县精神病医院机房设备升级及火灾报警系统更换项目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SYCG-CS-26030</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三原县精神病医院机房设备升级及火灾报警系统更换项目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三原县精神病医院机房设备升级及火灾报警系统更换项目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精神病医院机房设备升级及火灾报警系统设备更换项目，现有机房设备老化、安全防护体系滞后，防火墙、数据备份及灾备能力不足，存在患者隐私、诊疗及公卫数据泄露、丢失、被攻击的安全隐患，不符合网络安全等级保护要求，加之医院现有火灾自动报警系统投入使用年限已久，配件停产、故障频发，存在漏报误报、联动功能失效等问题，为堵塞安全漏洞、防范网络风险、保障业务数据安全稳定运行及筑牢医患消防安全防线，消除安全隐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采购包1（三原县精神病医院机房设备升级项目）：属于专门面向中小企业采购。</w:t>
      </w:r>
    </w:p>
    <w:p>
      <w:pPr>
        <w:pStyle w:val="null3"/>
      </w:pPr>
      <w:r>
        <w:rPr>
          <w:rFonts w:ascii="仿宋_GB2312" w:hAnsi="仿宋_GB2312" w:cs="仿宋_GB2312" w:eastAsia="仿宋_GB2312"/>
        </w:rPr>
        <w:t>采购包2（三原县精神病医院火灾报警系统更换项目）：属于专门面向中小企业采购。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2、法定代表⼈授权委托书：法定代表⼈或负责⼈参加投标时，提供本⼈⾝份证，并与营业执照中法定代表⼈或 负责⼈信息相符；授权代表参加投标时，提供授权书和被授权⼈⾝份证；</w:t>
      </w:r>
    </w:p>
    <w:p>
      <w:pPr>
        <w:pStyle w:val="null3"/>
      </w:pPr>
      <w:r>
        <w:rPr>
          <w:rFonts w:ascii="仿宋_GB2312" w:hAnsi="仿宋_GB2312" w:cs="仿宋_GB2312" w:eastAsia="仿宋_GB2312"/>
        </w:rPr>
        <w:t>3、财务状况报告：供应商提供 2024 或 2025 年经审计的财务报告（审计报告应当经过注册会计师行业统一监管平台备案赋码，成立时间至提交投标文件截止时间不足一年的可提供成立后任意时段的资产负债表），或自公告发布之日起至响应文件截止时间前其基本存款账户开户银行出具的资信证明，并附基本存款账户账号信息；其他组织和自然人提供银行出具的资信证明；</w:t>
      </w:r>
    </w:p>
    <w:p>
      <w:pPr>
        <w:pStyle w:val="null3"/>
      </w:pPr>
      <w:r>
        <w:rPr>
          <w:rFonts w:ascii="仿宋_GB2312" w:hAnsi="仿宋_GB2312" w:cs="仿宋_GB2312" w:eastAsia="仿宋_GB2312"/>
        </w:rPr>
        <w:t>4、税收缴纳证明：提供开标截⽌时间前半年内任意⼀个⽉的纳税证明或完税证明；依法免税的单位应 提供相关证明材料；</w:t>
      </w:r>
    </w:p>
    <w:p>
      <w:pPr>
        <w:pStyle w:val="null3"/>
      </w:pPr>
      <w:r>
        <w:rPr>
          <w:rFonts w:ascii="仿宋_GB2312" w:hAnsi="仿宋_GB2312" w:cs="仿宋_GB2312" w:eastAsia="仿宋_GB2312"/>
        </w:rPr>
        <w:t>5、社会保障资⾦缴纳证明：提供开标截⽌时间前半年内任意⼀个⽉的社保机构开具的社会保险参保缴费情况证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6、信⽤中国：供应商不得为“信⽤中国”⽹站（www.creditchina.gov.cn）中被列⼊“重⼤税收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的供应商；以开标时查询结果为准。</w:t>
      </w:r>
    </w:p>
    <w:p>
      <w:pPr>
        <w:pStyle w:val="null3"/>
      </w:pPr>
      <w:r>
        <w:rPr>
          <w:rFonts w:ascii="仿宋_GB2312" w:hAnsi="仿宋_GB2312" w:cs="仿宋_GB2312" w:eastAsia="仿宋_GB2312"/>
        </w:rPr>
        <w:t>7、重⼤违法声明：供应商参加采购活动近3年内经营活动中没有重⼤违法记录声明，以及未被列⼊失 信被执⾏⼈、重⼤税收违法失信主体、政府采购严重违法失信⾏为记录名单的书⾯声明</w:t>
      </w:r>
    </w:p>
    <w:p>
      <w:pPr>
        <w:pStyle w:val="null3"/>
      </w:pPr>
      <w:r>
        <w:rPr>
          <w:rFonts w:ascii="仿宋_GB2312" w:hAnsi="仿宋_GB2312" w:cs="仿宋_GB2312" w:eastAsia="仿宋_GB2312"/>
        </w:rPr>
        <w:t>8、⾮联合体：本项目不接受联合体投标；单位负责人为同一人或者存在直接控股、管理关系的不同供应商，不得参加同一合同项下的采购活动。</w:t>
      </w:r>
    </w:p>
    <w:p>
      <w:pPr>
        <w:pStyle w:val="null3"/>
      </w:pPr>
      <w:r>
        <w:rPr>
          <w:rFonts w:ascii="仿宋_GB2312" w:hAnsi="仿宋_GB2312" w:cs="仿宋_GB2312" w:eastAsia="仿宋_GB2312"/>
        </w:rPr>
        <w:t>9、专业技术能力声明：提供具有履行本合同所必需的设备和专业技术能力的声明；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1、营业执照及主体资格：独⽴承担⺠事责任的法⼈或其他组织有效的营业执照（或统⼀社会信⽤代码的营业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2、公司资质要求：具备建设行政主管部门核发的消防设施工程专业承包资质二级及以上或建筑工程施工总承包三级（含三级）以上资质，具备有效的安全生产许可证；</w:t>
      </w:r>
    </w:p>
    <w:p>
      <w:pPr>
        <w:pStyle w:val="null3"/>
      </w:pPr>
      <w:r>
        <w:rPr>
          <w:rFonts w:ascii="仿宋_GB2312" w:hAnsi="仿宋_GB2312" w:cs="仿宋_GB2312" w:eastAsia="仿宋_GB2312"/>
        </w:rPr>
        <w:t>3、拟派项⽬负责⼈：具备机电专业或建筑工程专业二级及以上注册建造师执业资格，并具备有效的安全生产考核合格证书(B证)，拟派往本项目的项目经理必须为本企业注册的建造师，且未担任其它在建工程的项目经理；</w:t>
      </w:r>
    </w:p>
    <w:p>
      <w:pPr>
        <w:pStyle w:val="null3"/>
      </w:pPr>
      <w:r>
        <w:rPr>
          <w:rFonts w:ascii="仿宋_GB2312" w:hAnsi="仿宋_GB2312" w:cs="仿宋_GB2312" w:eastAsia="仿宋_GB2312"/>
        </w:rPr>
        <w:t>4、法定代表⼈授权委托书：法定代表⼈或负责⼈参加投标时，提供本⼈⾝份证，并与营业执照中法定代表⼈或负责⼈信息相符；授权代表参加投标时，提供授权书和被授权⼈⾝份证；</w:t>
      </w:r>
    </w:p>
    <w:p>
      <w:pPr>
        <w:pStyle w:val="null3"/>
      </w:pPr>
      <w:r>
        <w:rPr>
          <w:rFonts w:ascii="仿宋_GB2312" w:hAnsi="仿宋_GB2312" w:cs="仿宋_GB2312" w:eastAsia="仿宋_GB2312"/>
        </w:rPr>
        <w:t>5、财务状况报告：供应商提供 2024 或 2025 年经审计的财务报告（审计报告应当经过注册会计师行业统一监管平台备案赋码，成立时间至提交投标文件截止时间不足一年的可提供成立后任意时段的资产负债表），或自公告发布之日起至响应文件截止时间前其基本存款账户开户银行出具的资信证明，并附基本存款账户账号信息；其他组织和自然人提供银行出具的资信证明；</w:t>
      </w:r>
    </w:p>
    <w:p>
      <w:pPr>
        <w:pStyle w:val="null3"/>
      </w:pPr>
      <w:r>
        <w:rPr>
          <w:rFonts w:ascii="仿宋_GB2312" w:hAnsi="仿宋_GB2312" w:cs="仿宋_GB2312" w:eastAsia="仿宋_GB2312"/>
        </w:rPr>
        <w:t>6、税收缴纳证明：提供开标截⽌时间前半年内任意⼀个⽉的纳税证明或完税证明；依法免税的单位应 提供相关证明材料；</w:t>
      </w:r>
    </w:p>
    <w:p>
      <w:pPr>
        <w:pStyle w:val="null3"/>
      </w:pPr>
      <w:r>
        <w:rPr>
          <w:rFonts w:ascii="仿宋_GB2312" w:hAnsi="仿宋_GB2312" w:cs="仿宋_GB2312" w:eastAsia="仿宋_GB2312"/>
        </w:rPr>
        <w:t>7、社会保障资⾦缴纳证明：提供开标截⽌时间前半年内任意⼀个⽉的社保机构开具的社会保险参保缴费情况证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8、信⽤中国：供应商不得为“信⽤中国”⽹站（www.creditchina.gov.cn）中被列⼊“重⼤税收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的供应商；以开标时查询结果为准。</w:t>
      </w:r>
    </w:p>
    <w:p>
      <w:pPr>
        <w:pStyle w:val="null3"/>
      </w:pPr>
      <w:r>
        <w:rPr>
          <w:rFonts w:ascii="仿宋_GB2312" w:hAnsi="仿宋_GB2312" w:cs="仿宋_GB2312" w:eastAsia="仿宋_GB2312"/>
        </w:rPr>
        <w:t>9、重⼤违法声明：供应商参加采购活动近3年内经营活动中没有重⼤违法记录声明，以及未被列⼊失 信被执⾏⼈、重⼤税收违法失信主体、政府采购严重违法失信⾏为记录名单的书⾯声明</w:t>
      </w:r>
    </w:p>
    <w:p>
      <w:pPr>
        <w:pStyle w:val="null3"/>
      </w:pPr>
      <w:r>
        <w:rPr>
          <w:rFonts w:ascii="仿宋_GB2312" w:hAnsi="仿宋_GB2312" w:cs="仿宋_GB2312" w:eastAsia="仿宋_GB2312"/>
        </w:rPr>
        <w:t>10、⾮联合体：本项目不接受联合体投标；单位负责人为同一人或者存在直接控股、管理关系的不同供应商，不得参加同一合同项下的采购活动。</w:t>
      </w:r>
    </w:p>
    <w:p>
      <w:pPr>
        <w:pStyle w:val="null3"/>
      </w:pPr>
      <w:r>
        <w:rPr>
          <w:rFonts w:ascii="仿宋_GB2312" w:hAnsi="仿宋_GB2312" w:cs="仿宋_GB2312" w:eastAsia="仿宋_GB2312"/>
        </w:rPr>
        <w:t>11、专业技术能力声明：提供具有履行本合同所必需的设备和专业技术能力的声明；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029-38910820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采购包1：283,000.00元</w:t>
            </w:r>
          </w:p>
          <w:p>
            <w:pPr>
              <w:pStyle w:val="null3"/>
            </w:pPr>
            <w:r>
              <w:rPr>
                <w:rFonts w:ascii="仿宋_GB2312" w:hAnsi="仿宋_GB2312" w:cs="仿宋_GB2312" w:eastAsia="仿宋_GB2312"/>
              </w:rPr>
              <w:t>采购包2：216,582.97元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达到货物施工质量验收合格标准，满足项目要求，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达到工程施工质量验收合格标准及设计要求，满足项目要求;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联系电话：029-32268927</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精神病医院机房设备升级及火灾报警系统设备更换项目，现有机房设备老化、安全防护体系滞后，防火墙、数据备份及灾备能力不足，存在患者隐私、诊疗及公卫数据泄露、丢失、被攻击的安全隐患，不符合网络安全等级保护要求，加之医院现有火灾自动报警系统投入使用年限已久，配件停产、故障频发，存在漏报误报、联动功能失效等问题，为堵塞安全漏洞、防范网络风险、保障业务数据安全稳定运行及筑牢医患消防安全防线，消除安全隐患。</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283,000.00</w:t>
      </w:r>
    </w:p>
    <w:p>
      <w:pPr>
        <w:pStyle w:val="null3"/>
      </w:pPr>
      <w:r>
        <w:rPr>
          <w:rFonts w:ascii="仿宋_GB2312" w:hAnsi="仿宋_GB2312" w:cs="仿宋_GB2312" w:eastAsia="仿宋_GB2312"/>
        </w:rPr>
        <w:t>采购包最高限价（元）: 283,000.00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三原县精神病医院机房设备升级项目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216,582.97</w:t>
      </w:r>
    </w:p>
    <w:p>
      <w:pPr>
        <w:pStyle w:val="null3"/>
      </w:pPr>
      <w:r>
        <w:rPr>
          <w:rFonts w:ascii="仿宋_GB2312" w:hAnsi="仿宋_GB2312" w:cs="仿宋_GB2312" w:eastAsia="仿宋_GB2312"/>
        </w:rPr>
        <w:t>采购包最高限价（元）: 216,582.97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三原县精神病医院火灾报警系统更换项目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216,582.97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标的名称：三原县精神病医院机房设备升级项目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3"/>
              <w:gridCol w:w="471"/>
              <w:gridCol w:w="1611"/>
              <w:gridCol w:w="258"/>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序号</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设备</w:t>
                  </w:r>
                  <w:r>
                    <w:rPr>
                      <w:rFonts w:ascii="仿宋_GB2312" w:hAnsi="仿宋_GB2312" w:cs="仿宋_GB2312" w:eastAsia="仿宋_GB2312"/>
                      <w:sz w:val="21"/>
                    </w:rPr>
                    <w:t>/服务名称</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规格型号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数量</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HIS服务器（核心产品）</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1.外观：机架式服务器，并提供机架安装套件，高度</w:t>
                  </w:r>
                  <w:r>
                    <w:rPr>
                      <w:rFonts w:ascii="仿宋_GB2312" w:hAnsi="仿宋_GB2312" w:cs="仿宋_GB2312" w:eastAsia="仿宋_GB2312"/>
                      <w:sz w:val="21"/>
                    </w:rPr>
                    <w:t>≥</w:t>
                  </w:r>
                  <w:r>
                    <w:rPr>
                      <w:rFonts w:ascii="仿宋_GB2312" w:hAnsi="仿宋_GB2312" w:cs="仿宋_GB2312" w:eastAsia="仿宋_GB2312"/>
                      <w:sz w:val="21"/>
                    </w:rPr>
                    <w:t>2U</w:t>
                  </w:r>
                </w:p>
                <w:p>
                  <w:pPr>
                    <w:pStyle w:val="null3"/>
                    <w:spacing w:before="105" w:after="105"/>
                    <w:jc w:val="left"/>
                  </w:pPr>
                  <w:r>
                    <w:rPr>
                      <w:rFonts w:ascii="仿宋_GB2312" w:hAnsi="仿宋_GB2312" w:cs="仿宋_GB2312" w:eastAsia="仿宋_GB2312"/>
                      <w:sz w:val="21"/>
                    </w:rPr>
                    <w:t>2. 处理器：支持</w:t>
                  </w:r>
                  <w:r>
                    <w:rPr>
                      <w:rFonts w:ascii="仿宋_GB2312" w:hAnsi="仿宋_GB2312" w:cs="仿宋_GB2312" w:eastAsia="仿宋_GB2312"/>
                      <w:sz w:val="21"/>
                    </w:rPr>
                    <w:t>≥</w:t>
                  </w:r>
                  <w:r>
                    <w:rPr>
                      <w:rFonts w:ascii="仿宋_GB2312" w:hAnsi="仿宋_GB2312" w:cs="仿宋_GB2312" w:eastAsia="仿宋_GB2312"/>
                      <w:sz w:val="21"/>
                    </w:rPr>
                    <w:t>2颗Intel Skylake or Cascade Lake系列处理器，配置</w:t>
                  </w:r>
                  <w:r>
                    <w:rPr>
                      <w:rFonts w:ascii="仿宋_GB2312" w:hAnsi="仿宋_GB2312" w:cs="仿宋_GB2312" w:eastAsia="仿宋_GB2312"/>
                      <w:sz w:val="21"/>
                    </w:rPr>
                    <w:t>≥</w:t>
                  </w:r>
                  <w:r>
                    <w:rPr>
                      <w:rFonts w:ascii="仿宋_GB2312" w:hAnsi="仿宋_GB2312" w:cs="仿宋_GB2312" w:eastAsia="仿宋_GB2312"/>
                      <w:sz w:val="21"/>
                    </w:rPr>
                    <w:t>1颗Intel Xeon Gold处理器，单颗核心数</w:t>
                  </w:r>
                  <w:r>
                    <w:rPr>
                      <w:rFonts w:ascii="仿宋_GB2312" w:hAnsi="仿宋_GB2312" w:cs="仿宋_GB2312" w:eastAsia="仿宋_GB2312"/>
                      <w:sz w:val="21"/>
                    </w:rPr>
                    <w:t>≥</w:t>
                  </w:r>
                  <w:r>
                    <w:rPr>
                      <w:rFonts w:ascii="仿宋_GB2312" w:hAnsi="仿宋_GB2312" w:cs="仿宋_GB2312" w:eastAsia="仿宋_GB2312"/>
                      <w:sz w:val="21"/>
                    </w:rPr>
                    <w:t>20C，主频</w:t>
                  </w:r>
                  <w:r>
                    <w:rPr>
                      <w:rFonts w:ascii="仿宋_GB2312" w:hAnsi="仿宋_GB2312" w:cs="仿宋_GB2312" w:eastAsia="仿宋_GB2312"/>
                      <w:sz w:val="21"/>
                    </w:rPr>
                    <w:t>≥</w:t>
                  </w:r>
                  <w:r>
                    <w:rPr>
                      <w:rFonts w:ascii="仿宋_GB2312" w:hAnsi="仿宋_GB2312" w:cs="仿宋_GB2312" w:eastAsia="仿宋_GB2312"/>
                      <w:sz w:val="21"/>
                    </w:rPr>
                    <w:t>2.0GHz;</w:t>
                  </w:r>
                </w:p>
                <w:p>
                  <w:pPr>
                    <w:pStyle w:val="null3"/>
                    <w:spacing w:before="105" w:after="105"/>
                    <w:jc w:val="left"/>
                  </w:pPr>
                  <w:r>
                    <w:rPr>
                      <w:rFonts w:ascii="仿宋_GB2312" w:hAnsi="仿宋_GB2312" w:cs="仿宋_GB2312" w:eastAsia="仿宋_GB2312"/>
                      <w:sz w:val="21"/>
                    </w:rPr>
                    <w:t>3. 内存：配置</w:t>
                  </w:r>
                  <w:r>
                    <w:rPr>
                      <w:rFonts w:ascii="仿宋_GB2312" w:hAnsi="仿宋_GB2312" w:cs="仿宋_GB2312" w:eastAsia="仿宋_GB2312"/>
                      <w:sz w:val="21"/>
                    </w:rPr>
                    <w:t>≥</w:t>
                  </w:r>
                  <w:r>
                    <w:rPr>
                      <w:rFonts w:ascii="仿宋_GB2312" w:hAnsi="仿宋_GB2312" w:cs="仿宋_GB2312" w:eastAsia="仿宋_GB2312"/>
                      <w:sz w:val="21"/>
                    </w:rPr>
                    <w:t>16根内存插槽，配置64GB 内存条，支持高级内存纠错、内存镜像、内存热备等功能。</w:t>
                  </w:r>
                </w:p>
                <w:p>
                  <w:pPr>
                    <w:pStyle w:val="null3"/>
                    <w:spacing w:before="105" w:after="105"/>
                    <w:jc w:val="left"/>
                  </w:pPr>
                  <w:r>
                    <w:rPr>
                      <w:rFonts w:ascii="仿宋_GB2312" w:hAnsi="仿宋_GB2312" w:cs="仿宋_GB2312" w:eastAsia="仿宋_GB2312"/>
                      <w:sz w:val="21"/>
                    </w:rPr>
                    <w:t>4.硬盘：支持</w:t>
                  </w:r>
                  <w:r>
                    <w:rPr>
                      <w:rFonts w:ascii="仿宋_GB2312" w:hAnsi="仿宋_GB2312" w:cs="仿宋_GB2312" w:eastAsia="仿宋_GB2312"/>
                      <w:sz w:val="21"/>
                    </w:rPr>
                    <w:t>≥</w:t>
                  </w:r>
                  <w:r>
                    <w:rPr>
                      <w:rFonts w:ascii="仿宋_GB2312" w:hAnsi="仿宋_GB2312" w:cs="仿宋_GB2312" w:eastAsia="仿宋_GB2312"/>
                      <w:sz w:val="21"/>
                    </w:rPr>
                    <w:t xml:space="preserve">8块3.5/2.5寸SATA/SAS热插拔硬盘盘位，支持 </w:t>
                  </w:r>
                  <w:r>
                    <w:rPr>
                      <w:rFonts w:ascii="仿宋_GB2312" w:hAnsi="仿宋_GB2312" w:cs="仿宋_GB2312" w:eastAsia="仿宋_GB2312"/>
                      <w:sz w:val="21"/>
                    </w:rPr>
                    <w:t>≥</w:t>
                  </w:r>
                  <w:r>
                    <w:rPr>
                      <w:rFonts w:ascii="仿宋_GB2312" w:hAnsi="仿宋_GB2312" w:cs="仿宋_GB2312" w:eastAsia="仿宋_GB2312"/>
                      <w:sz w:val="21"/>
                    </w:rPr>
                    <w:t>2 个 M.2 NVMe SSD，配置</w:t>
                  </w:r>
                  <w:r>
                    <w:rPr>
                      <w:rFonts w:ascii="仿宋_GB2312" w:hAnsi="仿宋_GB2312" w:cs="仿宋_GB2312" w:eastAsia="仿宋_GB2312"/>
                      <w:sz w:val="21"/>
                    </w:rPr>
                    <w:t>≥</w:t>
                  </w:r>
                  <w:r>
                    <w:rPr>
                      <w:rFonts w:ascii="仿宋_GB2312" w:hAnsi="仿宋_GB2312" w:cs="仿宋_GB2312" w:eastAsia="仿宋_GB2312"/>
                      <w:sz w:val="21"/>
                    </w:rPr>
                    <w:t>2块 480G SSD；</w:t>
                  </w:r>
                </w:p>
                <w:p>
                  <w:pPr>
                    <w:pStyle w:val="null3"/>
                    <w:spacing w:before="105" w:after="105"/>
                    <w:jc w:val="left"/>
                  </w:pPr>
                  <w:r>
                    <w:rPr>
                      <w:rFonts w:ascii="仿宋_GB2312" w:hAnsi="仿宋_GB2312" w:cs="仿宋_GB2312" w:eastAsia="仿宋_GB2312"/>
                      <w:sz w:val="21"/>
                    </w:rPr>
                    <w:t>5.SAS卡：配置</w:t>
                  </w:r>
                  <w:r>
                    <w:rPr>
                      <w:rFonts w:ascii="仿宋_GB2312" w:hAnsi="仿宋_GB2312" w:cs="仿宋_GB2312" w:eastAsia="仿宋_GB2312"/>
                      <w:sz w:val="21"/>
                    </w:rPr>
                    <w:t>≥</w:t>
                  </w:r>
                  <w:r>
                    <w:rPr>
                      <w:rFonts w:ascii="仿宋_GB2312" w:hAnsi="仿宋_GB2312" w:cs="仿宋_GB2312" w:eastAsia="仿宋_GB2312"/>
                      <w:sz w:val="21"/>
                    </w:rPr>
                    <w:t>一张独立阵列卡，1G缓存，支持 Raid0 1 5等；</w:t>
                  </w:r>
                </w:p>
                <w:p>
                  <w:pPr>
                    <w:pStyle w:val="null3"/>
                    <w:spacing w:before="105" w:after="105"/>
                    <w:jc w:val="left"/>
                  </w:pPr>
                  <w:r>
                    <w:rPr>
                      <w:rFonts w:ascii="仿宋_GB2312" w:hAnsi="仿宋_GB2312" w:cs="仿宋_GB2312" w:eastAsia="仿宋_GB2312"/>
                      <w:sz w:val="21"/>
                    </w:rPr>
                    <w:t>6.网卡：配置</w:t>
                  </w:r>
                  <w:r>
                    <w:rPr>
                      <w:rFonts w:ascii="仿宋_GB2312" w:hAnsi="仿宋_GB2312" w:cs="仿宋_GB2312" w:eastAsia="仿宋_GB2312"/>
                      <w:sz w:val="21"/>
                    </w:rPr>
                    <w:t>≥</w:t>
                  </w:r>
                  <w:r>
                    <w:rPr>
                      <w:rFonts w:ascii="仿宋_GB2312" w:hAnsi="仿宋_GB2312" w:cs="仿宋_GB2312" w:eastAsia="仿宋_GB2312"/>
                      <w:sz w:val="21"/>
                    </w:rPr>
                    <w:t>4个千兆网口，支持虚拟化加速、网络加速、负载均衡、低延迟等高级功能；</w:t>
                  </w:r>
                </w:p>
                <w:p>
                  <w:pPr>
                    <w:pStyle w:val="null3"/>
                    <w:spacing w:before="105" w:after="105"/>
                    <w:jc w:val="left"/>
                  </w:pPr>
                  <w:r>
                    <w:rPr>
                      <w:rFonts w:ascii="仿宋_GB2312" w:hAnsi="仿宋_GB2312" w:cs="仿宋_GB2312" w:eastAsia="仿宋_GB2312"/>
                      <w:sz w:val="21"/>
                    </w:rPr>
                    <w:t>7.扩展插槽：支持</w:t>
                  </w:r>
                  <w:r>
                    <w:rPr>
                      <w:rFonts w:ascii="仿宋_GB2312" w:hAnsi="仿宋_GB2312" w:cs="仿宋_GB2312" w:eastAsia="仿宋_GB2312"/>
                      <w:sz w:val="21"/>
                    </w:rPr>
                    <w:t>≥</w:t>
                  </w:r>
                  <w:r>
                    <w:rPr>
                      <w:rFonts w:ascii="仿宋_GB2312" w:hAnsi="仿宋_GB2312" w:cs="仿宋_GB2312" w:eastAsia="仿宋_GB2312"/>
                      <w:sz w:val="21"/>
                    </w:rPr>
                    <w:t>6个扩展插槽，其中PCI-E 3.0 x16插槽数量</w:t>
                  </w:r>
                  <w:r>
                    <w:rPr>
                      <w:rFonts w:ascii="仿宋_GB2312" w:hAnsi="仿宋_GB2312" w:cs="仿宋_GB2312" w:eastAsia="仿宋_GB2312"/>
                      <w:sz w:val="21"/>
                    </w:rPr>
                    <w:t>≥</w:t>
                  </w:r>
                  <w:r>
                    <w:rPr>
                      <w:rFonts w:ascii="仿宋_GB2312" w:hAnsi="仿宋_GB2312" w:cs="仿宋_GB2312" w:eastAsia="仿宋_GB2312"/>
                      <w:sz w:val="21"/>
                    </w:rPr>
                    <w:t>3；</w:t>
                  </w:r>
                </w:p>
                <w:p>
                  <w:pPr>
                    <w:pStyle w:val="null3"/>
                    <w:spacing w:before="105" w:after="105"/>
                    <w:jc w:val="left"/>
                  </w:pPr>
                  <w:r>
                    <w:rPr>
                      <w:rFonts w:ascii="仿宋_GB2312" w:hAnsi="仿宋_GB2312" w:cs="仿宋_GB2312" w:eastAsia="仿宋_GB2312"/>
                      <w:sz w:val="21"/>
                    </w:rPr>
                    <w:t>8.电源：配置高效能热插拔白金冗余电源模块数量</w:t>
                  </w:r>
                  <w:r>
                    <w:rPr>
                      <w:rFonts w:ascii="仿宋_GB2312" w:hAnsi="仿宋_GB2312" w:cs="仿宋_GB2312" w:eastAsia="仿宋_GB2312"/>
                      <w:sz w:val="21"/>
                    </w:rPr>
                    <w:t>≥</w:t>
                  </w:r>
                  <w:r>
                    <w:rPr>
                      <w:rFonts w:ascii="仿宋_GB2312" w:hAnsi="仿宋_GB2312" w:cs="仿宋_GB2312" w:eastAsia="仿宋_GB2312"/>
                      <w:sz w:val="21"/>
                    </w:rPr>
                    <w:t>2个，单个电源额定功率</w:t>
                  </w:r>
                  <w:r>
                    <w:rPr>
                      <w:rFonts w:ascii="仿宋_GB2312" w:hAnsi="仿宋_GB2312" w:cs="仿宋_GB2312" w:eastAsia="仿宋_GB2312"/>
                      <w:sz w:val="21"/>
                    </w:rPr>
                    <w:t>≥</w:t>
                  </w:r>
                  <w:r>
                    <w:rPr>
                      <w:rFonts w:ascii="仿宋_GB2312" w:hAnsi="仿宋_GB2312" w:cs="仿宋_GB2312" w:eastAsia="仿宋_GB2312"/>
                      <w:sz w:val="21"/>
                    </w:rPr>
                    <w:t>550W，实现1+1冗余供电</w:t>
                  </w:r>
                </w:p>
                <w:p>
                  <w:pPr>
                    <w:pStyle w:val="null3"/>
                    <w:spacing w:before="105" w:after="105"/>
                    <w:jc w:val="left"/>
                  </w:pPr>
                  <w:r>
                    <w:rPr>
                      <w:rFonts w:ascii="仿宋_GB2312" w:hAnsi="仿宋_GB2312" w:cs="仿宋_GB2312" w:eastAsia="仿宋_GB2312"/>
                      <w:sz w:val="21"/>
                    </w:rPr>
                    <w:t>9、其他I/O模块：提供1</w:t>
                  </w:r>
                  <w:r>
                    <w:rPr>
                      <w:rFonts w:ascii="仿宋_GB2312" w:hAnsi="仿宋_GB2312" w:cs="仿宋_GB2312" w:eastAsia="仿宋_GB2312"/>
                      <w:sz w:val="21"/>
                    </w:rPr>
                    <w:t>×</w:t>
                  </w:r>
                  <w:r>
                    <w:rPr>
                      <w:rFonts w:ascii="仿宋_GB2312" w:hAnsi="仿宋_GB2312" w:cs="仿宋_GB2312" w:eastAsia="仿宋_GB2312"/>
                      <w:sz w:val="21"/>
                    </w:rPr>
                    <w:t>VGA 接口、2</w:t>
                  </w:r>
                  <w:r>
                    <w:rPr>
                      <w:rFonts w:ascii="仿宋_GB2312" w:hAnsi="仿宋_GB2312" w:cs="仿宋_GB2312" w:eastAsia="仿宋_GB2312"/>
                      <w:sz w:val="21"/>
                    </w:rPr>
                    <w:t>×</w:t>
                  </w:r>
                  <w:r>
                    <w:rPr>
                      <w:rFonts w:ascii="仿宋_GB2312" w:hAnsi="仿宋_GB2312" w:cs="仿宋_GB2312" w:eastAsia="仿宋_GB2312"/>
                      <w:sz w:val="21"/>
                    </w:rPr>
                    <w:t>USB2.0 接口（前置）、2</w:t>
                  </w:r>
                  <w:r>
                    <w:rPr>
                      <w:rFonts w:ascii="仿宋_GB2312" w:hAnsi="仿宋_GB2312" w:cs="仿宋_GB2312" w:eastAsia="仿宋_GB2312"/>
                      <w:sz w:val="21"/>
                    </w:rPr>
                    <w:t>×</w:t>
                  </w:r>
                  <w:r>
                    <w:rPr>
                      <w:rFonts w:ascii="仿宋_GB2312" w:hAnsi="仿宋_GB2312" w:cs="仿宋_GB2312" w:eastAsia="仿宋_GB2312"/>
                      <w:sz w:val="21"/>
                    </w:rPr>
                    <w:t>USB3.0 接口+2</w:t>
                  </w:r>
                  <w:r>
                    <w:rPr>
                      <w:rFonts w:ascii="仿宋_GB2312" w:hAnsi="仿宋_GB2312" w:cs="仿宋_GB2312" w:eastAsia="仿宋_GB2312"/>
                      <w:sz w:val="21"/>
                    </w:rPr>
                    <w:t>×</w:t>
                  </w:r>
                  <w:r>
                    <w:rPr>
                      <w:rFonts w:ascii="仿宋_GB2312" w:hAnsi="仿宋_GB2312" w:cs="仿宋_GB2312" w:eastAsia="仿宋_GB2312"/>
                      <w:sz w:val="21"/>
                    </w:rPr>
                    <w:t>USB2.0 接口（6PCIe 主板--后置）、1xRJ45 管理接口、1</w:t>
                  </w:r>
                  <w:r>
                    <w:rPr>
                      <w:rFonts w:ascii="仿宋_GB2312" w:hAnsi="仿宋_GB2312" w:cs="仿宋_GB2312" w:eastAsia="仿宋_GB2312"/>
                      <w:sz w:val="21"/>
                    </w:rPr>
                    <w:t>×</w:t>
                  </w:r>
                  <w:r>
                    <w:rPr>
                      <w:rFonts w:ascii="仿宋_GB2312" w:hAnsi="仿宋_GB2312" w:cs="仿宋_GB2312" w:eastAsia="仿宋_GB2312"/>
                      <w:sz w:val="21"/>
                    </w:rPr>
                    <w:t>串行接口、一块双口16GB FC HBA卡；</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存储</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1.外观：机架式服务器，并提供机架安装套件，高度</w:t>
                  </w:r>
                  <w:r>
                    <w:rPr>
                      <w:rFonts w:ascii="仿宋_GB2312" w:hAnsi="仿宋_GB2312" w:cs="仿宋_GB2312" w:eastAsia="仿宋_GB2312"/>
                      <w:sz w:val="21"/>
                    </w:rPr>
                    <w:t>≥</w:t>
                  </w:r>
                  <w:r>
                    <w:rPr>
                      <w:rFonts w:ascii="仿宋_GB2312" w:hAnsi="仿宋_GB2312" w:cs="仿宋_GB2312" w:eastAsia="仿宋_GB2312"/>
                      <w:sz w:val="21"/>
                    </w:rPr>
                    <w:t>2U</w:t>
                  </w:r>
                </w:p>
                <w:p>
                  <w:pPr>
                    <w:pStyle w:val="null3"/>
                    <w:spacing w:before="105" w:after="105"/>
                    <w:jc w:val="left"/>
                  </w:pPr>
                  <w:r>
                    <w:rPr>
                      <w:rFonts w:ascii="仿宋_GB2312" w:hAnsi="仿宋_GB2312" w:cs="仿宋_GB2312" w:eastAsia="仿宋_GB2312"/>
                      <w:sz w:val="21"/>
                    </w:rPr>
                    <w:t>2. 控制器：本次配置2个控制器</w:t>
                  </w:r>
                </w:p>
                <w:p>
                  <w:pPr>
                    <w:pStyle w:val="null3"/>
                    <w:spacing w:before="105" w:after="105"/>
                    <w:jc w:val="left"/>
                  </w:pPr>
                  <w:r>
                    <w:rPr>
                      <w:rFonts w:ascii="仿宋_GB2312" w:hAnsi="仿宋_GB2312" w:cs="仿宋_GB2312" w:eastAsia="仿宋_GB2312"/>
                      <w:sz w:val="21"/>
                    </w:rPr>
                    <w:t>3. 缓存：配置</w:t>
                  </w:r>
                  <w:r>
                    <w:rPr>
                      <w:rFonts w:ascii="仿宋_GB2312" w:hAnsi="仿宋_GB2312" w:cs="仿宋_GB2312" w:eastAsia="仿宋_GB2312"/>
                      <w:sz w:val="21"/>
                    </w:rPr>
                    <w:t>≥</w:t>
                  </w:r>
                  <w:r>
                    <w:rPr>
                      <w:rFonts w:ascii="仿宋_GB2312" w:hAnsi="仿宋_GB2312" w:cs="仿宋_GB2312" w:eastAsia="仿宋_GB2312"/>
                      <w:sz w:val="21"/>
                    </w:rPr>
                    <w:t>64G缓存</w:t>
                  </w:r>
                </w:p>
                <w:p>
                  <w:pPr>
                    <w:pStyle w:val="null3"/>
                    <w:spacing w:before="105" w:after="105"/>
                    <w:jc w:val="left"/>
                  </w:pPr>
                  <w:r>
                    <w:rPr>
                      <w:rFonts w:ascii="仿宋_GB2312" w:hAnsi="仿宋_GB2312" w:cs="仿宋_GB2312" w:eastAsia="仿宋_GB2312"/>
                      <w:sz w:val="21"/>
                    </w:rPr>
                    <w:t>4.硬盘：最大支持275块硬盘扩展，支持2U12盘，2U25盘位扩展柜，本次配置不少于4块4T 3.5寸 7.2k硬盘；</w:t>
                  </w:r>
                </w:p>
                <w:p>
                  <w:pPr>
                    <w:pStyle w:val="null3"/>
                    <w:spacing w:before="105" w:after="105"/>
                    <w:jc w:val="left"/>
                  </w:pPr>
                  <w:r>
                    <w:rPr>
                      <w:rFonts w:ascii="仿宋_GB2312" w:hAnsi="仿宋_GB2312" w:cs="仿宋_GB2312" w:eastAsia="仿宋_GB2312"/>
                      <w:sz w:val="21"/>
                    </w:rPr>
                    <w:t>5.端口：支持16GB FC、8GB FC、1/10GB ISCSI接口，本次配置不少于2个16GB FC接口；后端不少于4个 SAS 3.0接口；</w:t>
                  </w:r>
                </w:p>
                <w:p>
                  <w:pPr>
                    <w:pStyle w:val="null3"/>
                    <w:spacing w:before="105" w:after="105"/>
                    <w:jc w:val="left"/>
                  </w:pPr>
                  <w:r>
                    <w:rPr>
                      <w:rFonts w:ascii="仿宋_GB2312" w:hAnsi="仿宋_GB2312" w:cs="仿宋_GB2312" w:eastAsia="仿宋_GB2312"/>
                      <w:sz w:val="21"/>
                    </w:rPr>
                    <w:t>6.存储协议：支持FC、ISCSI协议；</w:t>
                  </w:r>
                </w:p>
                <w:p>
                  <w:pPr>
                    <w:pStyle w:val="null3"/>
                    <w:spacing w:before="105" w:after="105"/>
                    <w:jc w:val="left"/>
                  </w:pPr>
                  <w:r>
                    <w:rPr>
                      <w:rFonts w:ascii="仿宋_GB2312" w:hAnsi="仿宋_GB2312" w:cs="仿宋_GB2312" w:eastAsia="仿宋_GB2312"/>
                      <w:sz w:val="21"/>
                    </w:rPr>
                    <w:t>7.其他：标配多路径，高级功能: 快照、克隆、镜像、自动精简、分层存储、分布式RAID、卷迁移、虚拟化；</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共享版双机热备软件</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支持主备工作模式与双机互备工作模式</w:t>
                  </w:r>
                  <w:r>
                    <w:rPr>
                      <w:rFonts w:ascii="仿宋_GB2312" w:hAnsi="仿宋_GB2312" w:cs="仿宋_GB2312" w:eastAsia="仿宋_GB2312"/>
                      <w:sz w:val="21"/>
                    </w:rPr>
                    <w:t>；</w:t>
                  </w:r>
                  <w:r>
                    <w:rPr>
                      <w:rFonts w:ascii="仿宋_GB2312" w:hAnsi="仿宋_GB2312" w:cs="仿宋_GB2312" w:eastAsia="仿宋_GB2312"/>
                      <w:sz w:val="21"/>
                    </w:rPr>
                    <w:t>支持资源有序控制策略</w:t>
                  </w:r>
                  <w:r>
                    <w:rPr>
                      <w:rFonts w:ascii="仿宋_GB2312" w:hAnsi="仿宋_GB2312" w:cs="仿宋_GB2312" w:eastAsia="仿宋_GB2312"/>
                      <w:sz w:val="21"/>
                    </w:rPr>
                    <w:t>，</w:t>
                  </w:r>
                  <w:r>
                    <w:rPr>
                      <w:rFonts w:ascii="仿宋_GB2312" w:hAnsi="仿宋_GB2312" w:cs="仿宋_GB2312" w:eastAsia="仿宋_GB2312"/>
                      <w:sz w:val="21"/>
                    </w:rPr>
                    <w:t>支持资源并行启动，减少切换时间</w:t>
                  </w:r>
                  <w:r>
                    <w:rPr>
                      <w:rFonts w:ascii="仿宋_GB2312" w:hAnsi="仿宋_GB2312" w:cs="仿宋_GB2312" w:eastAsia="仿宋_GB2312"/>
                      <w:sz w:val="21"/>
                    </w:rPr>
                    <w:t>；</w:t>
                  </w:r>
                  <w:r>
                    <w:rPr>
                      <w:rFonts w:ascii="仿宋_GB2312" w:hAnsi="仿宋_GB2312" w:cs="仿宋_GB2312" w:eastAsia="仿宋_GB2312"/>
                      <w:sz w:val="21"/>
                    </w:rPr>
                    <w:t>支持在线增、删资源，扩展集群无需中断集群服务</w:t>
                  </w:r>
                  <w:r>
                    <w:rPr>
                      <w:rFonts w:ascii="仿宋_GB2312" w:hAnsi="仿宋_GB2312" w:cs="仿宋_GB2312" w:eastAsia="仿宋_GB2312"/>
                      <w:sz w:val="21"/>
                    </w:rPr>
                    <w:t>，</w:t>
                  </w:r>
                  <w:r>
                    <w:rPr>
                      <w:rFonts w:ascii="仿宋_GB2312" w:hAnsi="仿宋_GB2312" w:cs="仿宋_GB2312" w:eastAsia="仿宋_GB2312"/>
                      <w:sz w:val="21"/>
                    </w:rPr>
                    <w:t>支持资源维护模式，方便应用调试、测试</w:t>
                  </w:r>
                  <w:r>
                    <w:rPr>
                      <w:rFonts w:ascii="仿宋_GB2312" w:hAnsi="仿宋_GB2312" w:cs="仿宋_GB2312" w:eastAsia="仿宋_GB2312"/>
                      <w:sz w:val="21"/>
                    </w:rPr>
                    <w:t>；</w:t>
                  </w:r>
                  <w:r>
                    <w:rPr>
                      <w:rFonts w:ascii="仿宋_GB2312" w:hAnsi="仿宋_GB2312" w:cs="仿宋_GB2312" w:eastAsia="仿宋_GB2312"/>
                      <w:sz w:val="21"/>
                    </w:rPr>
                    <w:t>可通过</w:t>
                  </w:r>
                  <w:r>
                    <w:rPr>
                      <w:rFonts w:ascii="仿宋_GB2312" w:hAnsi="仿宋_GB2312" w:cs="仿宋_GB2312" w:eastAsia="仿宋_GB2312"/>
                      <w:sz w:val="21"/>
                    </w:rPr>
                    <w:t>web对集群进行远程、集中、跨平台管理</w:t>
                  </w:r>
                  <w:r>
                    <w:rPr>
                      <w:rFonts w:ascii="仿宋_GB2312" w:hAnsi="仿宋_GB2312" w:cs="仿宋_GB2312" w:eastAsia="仿宋_GB2312"/>
                      <w:sz w:val="21"/>
                    </w:rPr>
                    <w:t>；</w:t>
                  </w:r>
                  <w:r>
                    <w:rPr>
                      <w:rFonts w:ascii="仿宋_GB2312" w:hAnsi="仿宋_GB2312" w:cs="仿宋_GB2312" w:eastAsia="仿宋_GB2312"/>
                      <w:sz w:val="21"/>
                    </w:rPr>
                    <w:t>纯净</w:t>
                  </w:r>
                  <w:r>
                    <w:rPr>
                      <w:rFonts w:ascii="仿宋_GB2312" w:hAnsi="仿宋_GB2312" w:cs="仿宋_GB2312" w:eastAsia="仿宋_GB2312"/>
                      <w:sz w:val="21"/>
                    </w:rPr>
                    <w:t>Web管理，无需客户端，不依赖特定监控程序、JAVA、FLASH等</w:t>
                  </w:r>
                  <w:r>
                    <w:rPr>
                      <w:rFonts w:ascii="仿宋_GB2312" w:hAnsi="仿宋_GB2312" w:cs="仿宋_GB2312" w:eastAsia="仿宋_GB2312"/>
                      <w:sz w:val="21"/>
                    </w:rPr>
                    <w:t>；</w:t>
                  </w:r>
                  <w:r>
                    <w:rPr>
                      <w:rFonts w:ascii="仿宋_GB2312" w:hAnsi="仿宋_GB2312" w:cs="仿宋_GB2312" w:eastAsia="仿宋_GB2312"/>
                      <w:sz w:val="21"/>
                    </w:rPr>
                    <w:t>支持资源切换手动控制</w:t>
                  </w:r>
                  <w:r>
                    <w:rPr>
                      <w:rFonts w:ascii="仿宋_GB2312" w:hAnsi="仿宋_GB2312" w:cs="仿宋_GB2312" w:eastAsia="仿宋_GB2312"/>
                      <w:sz w:val="21"/>
                    </w:rPr>
                    <w:t>。共享磁盘结构支持</w:t>
                  </w:r>
                  <w:r>
                    <w:rPr>
                      <w:rFonts w:ascii="仿宋_GB2312" w:hAnsi="仿宋_GB2312" w:cs="仿宋_GB2312" w:eastAsia="仿宋_GB2312"/>
                      <w:sz w:val="21"/>
                    </w:rPr>
                    <w:t>DAS/NAS/SAN/iSCSI；支持X86构架服务器以及龙芯、飞腾、鲲鹏等ARM构架服务器；支持Redhat、CentOS、中标麒麟、银河麒麟、统信UOS、凝思、Ubuntu等 Linux服务器操作系统；支持Windows2003、Windows2008、Windows2012、Windows2016、Windows2019 Windows2022全线版本；支持Oracle、SQLServer、DB2、PostgreSQL、MySQL、Sybase、人大金仓、达梦、南大通用、神通等主流数据库应用。（备注：实现医院现有医院系统数据迁移和第三方数据对接，不影响医院正常业务运行）</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4</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防火墙</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1、采用非X86 64位多核高性能处理器和高速存储器架构，内存</w:t>
                  </w:r>
                  <w:r>
                    <w:rPr>
                      <w:rFonts w:ascii="仿宋_GB2312" w:hAnsi="仿宋_GB2312" w:cs="仿宋_GB2312" w:eastAsia="仿宋_GB2312"/>
                      <w:sz w:val="21"/>
                    </w:rPr>
                    <w:t>≥</w:t>
                  </w:r>
                  <w:r>
                    <w:rPr>
                      <w:rFonts w:ascii="仿宋_GB2312" w:hAnsi="仿宋_GB2312" w:cs="仿宋_GB2312" w:eastAsia="仿宋_GB2312"/>
                      <w:sz w:val="21"/>
                    </w:rPr>
                    <w:t>2G，高度</w:t>
                  </w:r>
                  <w:r>
                    <w:rPr>
                      <w:rFonts w:ascii="仿宋_GB2312" w:hAnsi="仿宋_GB2312" w:cs="仿宋_GB2312" w:eastAsia="仿宋_GB2312"/>
                      <w:sz w:val="21"/>
                    </w:rPr>
                    <w:t>≥</w:t>
                  </w:r>
                  <w:r>
                    <w:rPr>
                      <w:rFonts w:ascii="仿宋_GB2312" w:hAnsi="仿宋_GB2312" w:cs="仿宋_GB2312" w:eastAsia="仿宋_GB2312"/>
                      <w:sz w:val="21"/>
                    </w:rPr>
                    <w:t>1U，自带单电源；</w:t>
                  </w:r>
                  <w:r>
                    <w:br/>
                  </w:r>
                  <w:r>
                    <w:rPr>
                      <w:rFonts w:ascii="仿宋_GB2312" w:hAnsi="仿宋_GB2312" w:cs="仿宋_GB2312" w:eastAsia="仿宋_GB2312"/>
                      <w:sz w:val="21"/>
                    </w:rPr>
                    <w:t xml:space="preserve"> </w:t>
                  </w:r>
                  <w:r>
                    <w:rPr>
                      <w:rFonts w:ascii="仿宋_GB2312" w:hAnsi="仿宋_GB2312" w:cs="仿宋_GB2312" w:eastAsia="仿宋_GB2312"/>
                      <w:sz w:val="21"/>
                    </w:rPr>
                    <w:t>2、三层吞吐量</w:t>
                  </w:r>
                  <w:r>
                    <w:rPr>
                      <w:rFonts w:ascii="仿宋_GB2312" w:hAnsi="仿宋_GB2312" w:cs="仿宋_GB2312" w:eastAsia="仿宋_GB2312"/>
                      <w:sz w:val="21"/>
                    </w:rPr>
                    <w:t>≥</w:t>
                  </w:r>
                  <w:r>
                    <w:rPr>
                      <w:rFonts w:ascii="仿宋_GB2312" w:hAnsi="仿宋_GB2312" w:cs="仿宋_GB2312" w:eastAsia="仿宋_GB2312"/>
                      <w:sz w:val="21"/>
                    </w:rPr>
                    <w:t>2Gbps，并发连接数</w:t>
                  </w:r>
                  <w:r>
                    <w:rPr>
                      <w:rFonts w:ascii="仿宋_GB2312" w:hAnsi="仿宋_GB2312" w:cs="仿宋_GB2312" w:eastAsia="仿宋_GB2312"/>
                      <w:sz w:val="21"/>
                    </w:rPr>
                    <w:t>≥</w:t>
                  </w:r>
                  <w:r>
                    <w:rPr>
                      <w:rFonts w:ascii="仿宋_GB2312" w:hAnsi="仿宋_GB2312" w:cs="仿宋_GB2312" w:eastAsia="仿宋_GB2312"/>
                      <w:sz w:val="21"/>
                    </w:rPr>
                    <w:t>100万，新建连接数</w:t>
                  </w:r>
                  <w:r>
                    <w:rPr>
                      <w:rFonts w:ascii="仿宋_GB2312" w:hAnsi="仿宋_GB2312" w:cs="仿宋_GB2312" w:eastAsia="仿宋_GB2312"/>
                      <w:sz w:val="21"/>
                    </w:rPr>
                    <w:t>≥</w:t>
                  </w:r>
                  <w:r>
                    <w:rPr>
                      <w:rFonts w:ascii="仿宋_GB2312" w:hAnsi="仿宋_GB2312" w:cs="仿宋_GB2312" w:eastAsia="仿宋_GB2312"/>
                      <w:sz w:val="21"/>
                    </w:rPr>
                    <w:t>2W，SSL VPN并发用户数</w:t>
                  </w:r>
                  <w:r>
                    <w:rPr>
                      <w:rFonts w:ascii="仿宋_GB2312" w:hAnsi="仿宋_GB2312" w:cs="仿宋_GB2312" w:eastAsia="仿宋_GB2312"/>
                      <w:sz w:val="21"/>
                    </w:rPr>
                    <w:t>≥</w:t>
                  </w:r>
                  <w:r>
                    <w:rPr>
                      <w:rFonts w:ascii="仿宋_GB2312" w:hAnsi="仿宋_GB2312" w:cs="仿宋_GB2312" w:eastAsia="仿宋_GB2312"/>
                      <w:sz w:val="21"/>
                    </w:rPr>
                    <w:t>750人，支持扩展</w:t>
                  </w:r>
                  <w:r>
                    <w:rPr>
                      <w:rFonts w:ascii="仿宋_GB2312" w:hAnsi="仿宋_GB2312" w:cs="仿宋_GB2312" w:eastAsia="仿宋_GB2312"/>
                      <w:sz w:val="21"/>
                    </w:rPr>
                    <w:t>≥</w:t>
                  </w:r>
                  <w:r>
                    <w:rPr>
                      <w:rFonts w:ascii="仿宋_GB2312" w:hAnsi="仿宋_GB2312" w:cs="仿宋_GB2312" w:eastAsia="仿宋_GB2312"/>
                      <w:sz w:val="21"/>
                    </w:rPr>
                    <w:t>1硬盘扩展槽位，可扩展480G SSD硬盘</w:t>
                  </w:r>
                  <w:r>
                    <w:rPr>
                      <w:rFonts w:ascii="仿宋_GB2312" w:hAnsi="仿宋_GB2312" w:cs="仿宋_GB2312" w:eastAsia="仿宋_GB2312"/>
                      <w:sz w:val="21"/>
                    </w:rPr>
                    <w:t>≥</w:t>
                  </w:r>
                  <w:r>
                    <w:rPr>
                      <w:rFonts w:ascii="仿宋_GB2312" w:hAnsi="仿宋_GB2312" w:cs="仿宋_GB2312" w:eastAsia="仿宋_GB2312"/>
                      <w:sz w:val="21"/>
                    </w:rPr>
                    <w:t>1个；</w:t>
                  </w:r>
                  <w:r>
                    <w:br/>
                  </w:r>
                  <w:r>
                    <w:rPr>
                      <w:rFonts w:ascii="仿宋_GB2312" w:hAnsi="仿宋_GB2312" w:cs="仿宋_GB2312" w:eastAsia="仿宋_GB2312"/>
                      <w:sz w:val="21"/>
                    </w:rPr>
                    <w:t xml:space="preserve"> </w:t>
                  </w:r>
                  <w:r>
                    <w:rPr>
                      <w:rFonts w:ascii="仿宋_GB2312" w:hAnsi="仿宋_GB2312" w:cs="仿宋_GB2312" w:eastAsia="仿宋_GB2312"/>
                      <w:sz w:val="21"/>
                    </w:rPr>
                    <w:t>3、接口：8GE+2BYPASS+2combo口+2USB，实配</w:t>
                  </w:r>
                  <w:r>
                    <w:rPr>
                      <w:rFonts w:ascii="仿宋_GB2312" w:hAnsi="仿宋_GB2312" w:cs="仿宋_GB2312" w:eastAsia="仿宋_GB2312"/>
                      <w:sz w:val="21"/>
                    </w:rPr>
                    <w:t>≥</w:t>
                  </w:r>
                  <w:r>
                    <w:rPr>
                      <w:rFonts w:ascii="仿宋_GB2312" w:hAnsi="仿宋_GB2312" w:cs="仿宋_GB2312" w:eastAsia="仿宋_GB2312"/>
                      <w:sz w:val="21"/>
                    </w:rPr>
                    <w:t>3年入侵防御、防病毒、内容过滤/审计特征库升级服务（根据实际需求更改），本次实配100条SSL VPN用户数量授权；</w:t>
                  </w:r>
                  <w:r>
                    <w:br/>
                  </w:r>
                  <w:r>
                    <w:rPr>
                      <w:rFonts w:ascii="仿宋_GB2312" w:hAnsi="仿宋_GB2312" w:cs="仿宋_GB2312" w:eastAsia="仿宋_GB2312"/>
                      <w:sz w:val="21"/>
                    </w:rPr>
                    <w:t xml:space="preserve"> </w:t>
                  </w:r>
                  <w:r>
                    <w:rPr>
                      <w:rFonts w:ascii="仿宋_GB2312" w:hAnsi="仿宋_GB2312" w:cs="仿宋_GB2312" w:eastAsia="仿宋_GB2312"/>
                      <w:sz w:val="21"/>
                    </w:rPr>
                    <w:t>4、支持至少4000种的Web特征的攻击检测和防御，可防护HTTP/HTTPS的Web应用，支持至少6000条以上的应用识别，且提示风险类型及风险级别，便于用户根据实际情况进行上网行为管理；</w:t>
                  </w:r>
                  <w:r>
                    <w:br/>
                  </w:r>
                  <w:r>
                    <w:rPr>
                      <w:rFonts w:ascii="仿宋_GB2312" w:hAnsi="仿宋_GB2312" w:cs="仿宋_GB2312" w:eastAsia="仿宋_GB2312"/>
                      <w:sz w:val="21"/>
                    </w:rPr>
                    <w:t xml:space="preserve"> </w:t>
                  </w:r>
                  <w:r>
                    <w:rPr>
                      <w:rFonts w:ascii="仿宋_GB2312" w:hAnsi="仿宋_GB2312" w:cs="仿宋_GB2312" w:eastAsia="仿宋_GB2312"/>
                      <w:sz w:val="21"/>
                    </w:rPr>
                    <w:t>5、支持云端防病毒，为保证检测时效性，特征缓存数至少保证20万条且缓存保留时间不应少于700分钟，支持病毒库</w:t>
                  </w:r>
                  <w:r>
                    <w:rPr>
                      <w:rFonts w:ascii="仿宋_GB2312" w:hAnsi="仿宋_GB2312" w:cs="仿宋_GB2312" w:eastAsia="仿宋_GB2312"/>
                      <w:sz w:val="21"/>
                    </w:rPr>
                    <w:t>≥</w:t>
                  </w:r>
                  <w:r>
                    <w:rPr>
                      <w:rFonts w:ascii="仿宋_GB2312" w:hAnsi="仿宋_GB2312" w:cs="仿宋_GB2312" w:eastAsia="仿宋_GB2312"/>
                      <w:sz w:val="21"/>
                    </w:rPr>
                    <w:t>600万，支持勒索病毒防护；</w:t>
                  </w:r>
                  <w:r>
                    <w:br/>
                  </w:r>
                  <w:r>
                    <w:rPr>
                      <w:rFonts w:ascii="仿宋_GB2312" w:hAnsi="仿宋_GB2312" w:cs="仿宋_GB2312" w:eastAsia="仿宋_GB2312"/>
                      <w:sz w:val="21"/>
                    </w:rPr>
                    <w:t xml:space="preserve"> </w:t>
                  </w:r>
                  <w:r>
                    <w:rPr>
                      <w:rFonts w:ascii="仿宋_GB2312" w:hAnsi="仿宋_GB2312" w:cs="仿宋_GB2312" w:eastAsia="仿宋_GB2312"/>
                      <w:sz w:val="21"/>
                    </w:rPr>
                    <w:t>6、支持数据防泄露，对传输的文件和内容进行识别过滤，对内容与身份证号、信用卡号、银行卡号、手机号等类型进行匹配；</w:t>
                  </w:r>
                  <w:r>
                    <w:br/>
                  </w:r>
                  <w:r>
                    <w:rPr>
                      <w:rFonts w:ascii="仿宋_GB2312" w:hAnsi="仿宋_GB2312" w:cs="仿宋_GB2312" w:eastAsia="仿宋_GB2312"/>
                      <w:sz w:val="21"/>
                    </w:rPr>
                    <w:t xml:space="preserve"> </w:t>
                  </w:r>
                  <w:r>
                    <w:rPr>
                      <w:rFonts w:ascii="仿宋_GB2312" w:hAnsi="仿宋_GB2312" w:cs="仿宋_GB2312" w:eastAsia="仿宋_GB2312"/>
                      <w:sz w:val="21"/>
                    </w:rPr>
                    <w:t>7、支持链路负载均衡，支持outbound链路负载均衡、inbound链路负载均衡（智能DNS）、会话保持、链路故障重定向等功能；</w:t>
                  </w:r>
                  <w:r>
                    <w:br/>
                  </w:r>
                  <w:r>
                    <w:rPr>
                      <w:rFonts w:ascii="仿宋_GB2312" w:hAnsi="仿宋_GB2312" w:cs="仿宋_GB2312" w:eastAsia="仿宋_GB2312"/>
                      <w:sz w:val="21"/>
                    </w:rPr>
                    <w:t xml:space="preserve"> </w:t>
                  </w:r>
                  <w:r>
                    <w:rPr>
                      <w:rFonts w:ascii="仿宋_GB2312" w:hAnsi="仿宋_GB2312" w:cs="仿宋_GB2312" w:eastAsia="仿宋_GB2312"/>
                      <w:sz w:val="21"/>
                    </w:rPr>
                    <w:t>8、支持国密SM2/3/4算法。</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5</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2"/>
                    </w:rPr>
                    <w:t>服务器机柜</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rPr>
                    <w:t>42U</w:t>
                  </w:r>
                  <w:r>
                    <w:rPr>
                      <w:rFonts w:ascii="仿宋_GB2312" w:hAnsi="仿宋_GB2312" w:cs="仿宋_GB2312" w:eastAsia="仿宋_GB2312"/>
                      <w:sz w:val="22"/>
                    </w:rPr>
                    <w:t xml:space="preserve">  </w:t>
                  </w:r>
                  <w:r>
                    <w:rPr>
                      <w:rFonts w:ascii="仿宋_GB2312" w:hAnsi="仿宋_GB2312" w:cs="仿宋_GB2312" w:eastAsia="仿宋_GB2312"/>
                      <w:sz w:val="22"/>
                    </w:rPr>
                    <w:t>600*1000*2055,</w:t>
                  </w:r>
                  <w:r>
                    <w:rPr>
                      <w:rFonts w:ascii="仿宋_GB2312" w:hAnsi="仿宋_GB2312" w:cs="仿宋_GB2312" w:eastAsia="仿宋_GB2312"/>
                      <w:sz w:val="21"/>
                    </w:rPr>
                    <w:t>板材厚度主体</w:t>
                  </w:r>
                  <w:r>
                    <w:rPr>
                      <w:rFonts w:ascii="仿宋_GB2312" w:hAnsi="仿宋_GB2312" w:cs="仿宋_GB2312" w:eastAsia="仿宋_GB2312"/>
                      <w:sz w:val="21"/>
                    </w:rPr>
                    <w:t>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标的名称：三原县精神病医院火灾报警系统更换项目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1、火灾报警系统全部设备须符合国家及消防行业现行规范标准，产品具备合法有效的资质认证，相关资质材料可通过官方平台核验，整体系统满足医疗卫生场所消防管理相关要求，保障系统运行稳定可靠。</w:t>
            </w:r>
          </w:p>
          <w:p>
            <w:pPr>
              <w:pStyle w:val="null3"/>
            </w:pPr>
            <w:r>
              <w:rPr>
                <w:rFonts w:ascii="仿宋_GB2312" w:hAnsi="仿宋_GB2312" w:cs="仿宋_GB2312" w:eastAsia="仿宋_GB2312"/>
              </w:rPr>
              <w:t>2、系统主机及配套设备操作逻辑简洁清晰，适配值班人员日常运维操作，具备完善的权限分级管控机制，能够规避非授权操作、误操作带来的系统异常触发问题。</w:t>
            </w:r>
          </w:p>
          <w:p>
            <w:pPr>
              <w:pStyle w:val="null3"/>
            </w:pPr>
            <w:r>
              <w:rPr>
                <w:rFonts w:ascii="仿宋_GB2312" w:hAnsi="仿宋_GB2312" w:cs="仿宋_GB2312" w:eastAsia="仿宋_GB2312"/>
              </w:rPr>
              <w:t>3、系统具备完整的火灾探测、信号上报、故障提示、联动控制功能，可实现火情信号识别、故障状态自主提示，能够与相关消防配套设施实现联动处置，杜绝漏报、误报现象。</w:t>
            </w:r>
          </w:p>
          <w:p>
            <w:pPr>
              <w:pStyle w:val="null3"/>
            </w:pPr>
            <w:r>
              <w:rPr>
                <w:rFonts w:ascii="仿宋_GB2312" w:hAnsi="仿宋_GB2312" w:cs="仿宋_GB2312" w:eastAsia="仿宋_GB2312"/>
              </w:rPr>
              <w:t>4、现场各类探测、报警、模块、电源等配套设备与主机之间适配兼容，设备安装工艺规范，布线敷设符合消防施工规范，布线规整，防护措施到位，做好线路防护与标识，设备安装牢固可靠。</w:t>
            </w:r>
          </w:p>
          <w:p>
            <w:pPr>
              <w:pStyle w:val="null3"/>
            </w:pPr>
            <w:r>
              <w:rPr>
                <w:rFonts w:ascii="仿宋_GB2312" w:hAnsi="仿宋_GB2312" w:cs="仿宋_GB2312" w:eastAsia="仿宋_GB2312"/>
              </w:rPr>
              <w:t>5、系统完成部署之后开展整机调试，各项功能模块协同工作正常，火警、故障、监管信号提示逻辑准确，联动响应动作符合规范设计要求，整体系统通过消防相关规范要求，可投入常态化值守使用。</w:t>
            </w:r>
          </w:p>
          <w:p>
            <w:pPr>
              <w:pStyle w:val="null3"/>
            </w:pPr>
            <w:r>
              <w:rPr>
                <w:rFonts w:ascii="仿宋_GB2312" w:hAnsi="仿宋_GB2312" w:cs="仿宋_GB2312" w:eastAsia="仿宋_GB2312"/>
              </w:rPr>
              <w:t>6、全部进场设备、配套辅材须具备完整合格证明文件，进场核验无误后方可开展安装作业，严禁不合格产品投入项目实施。施工全过程落实安全文明施工要求，做好现场成品保护，降低施工作业对医院正常诊疗秩序造成干扰。</w:t>
            </w:r>
          </w:p>
          <w:p>
            <w:pPr>
              <w:pStyle w:val="null3"/>
            </w:pPr>
            <w:r>
              <w:rPr>
                <w:rFonts w:ascii="仿宋_GB2312" w:hAnsi="仿宋_GB2312" w:cs="仿宋_GB2312" w:eastAsia="仿宋_GB2312"/>
              </w:rPr>
              <w:t>7、项目实施完成后完整移交全套竣工资料，包含设备资质证书、产品资料、施工调试记录、布线图纸等归档材料，资料齐全规范，满足档案留存、验收核查需要。</w:t>
            </w:r>
          </w:p>
          <w:p>
            <w:pPr>
              <w:pStyle w:val="null3"/>
            </w:pPr>
            <w:r>
              <w:rPr>
                <w:rFonts w:ascii="仿宋_GB2312" w:hAnsi="仿宋_GB2312" w:cs="仿宋_GB2312" w:eastAsia="仿宋_GB2312"/>
              </w:rPr>
              <w:t>8、质保周期内，因设备本身质量、安装施工工艺造成的故障、缺陷，提供免费维修及部件更换服务；收到故障报修能够及时响应，安排专业技术人员到场排查处置；质保期满后持续提供技术咨询与技术支持服务。</w:t>
            </w:r>
          </w:p>
          <w:p>
            <w:pPr>
              <w:pStyle w:val="null3"/>
            </w:pPr>
            <w:r>
              <w:rPr>
                <w:rFonts w:ascii="仿宋_GB2312" w:hAnsi="仿宋_GB2312" w:cs="仿宋_GB2312" w:eastAsia="仿宋_GB2312"/>
              </w:rPr>
              <w:t>9、系统交付后，供应商须对医院值班运维人员开展操作培训，使其掌握设备日常操作、基础故障识别等相关使用技能，保障后期日常运维工作正常开展。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三原县精神病医院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三原县精神病医院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其他，工程整体完工验收，达到付款条件起30个工作日内，支付合同总金额的60.0%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其他，竣工完成后，达到付款条件起15个工作日内，支付合同总金额的50.0%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其他，整体完工验收，达到付款条件起30个工作日内，支付合同总金额的20.0%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执行国家法律、法规和标准等情况进行检查，由采购人组织验收 ，合同报价包括医疗业务数据迁移及第三方对接费用。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项目按照计划工期完成后，达到设计要求并符合相关规定及验收标准，经甲方组织验收满足项目要求达到合格质量。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保修期以合同为准，保修期间乙方应在接到甲方维修通知10日内派人维修，负责甲方可委托其他单位或人员维修，因乙方原因造成的返修费用，由乙方承担，因乙方之外原因返修的经济支出由甲方承担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所有完工项目，保修期一年。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合同报价包括医疗业务数据迁移及第三方对接费用。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方案说明书.1docx.docx 报价表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方案说明书.1docx.docx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 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 2024 或 2025 年经审计的财务报告（审计报告应当经过注册会计师行业统一监管平台备案赋码，成立时间至提交投标文件截止时间不足一年的可提供成立后任意时段的资产负债表），或自公告发布之日起至响应文件截止时间前其基本存款账户开户银行出具的资信证明，并附基本存款账户账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提供开标截⽌时间前半年内任意⼀个⽉的纳税证明或完税证明；依法免税的单位应 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的供应商；以开标时查询结果为准。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公司资质要求</w:t>
            </w:r>
          </w:p>
        </w:tc>
        <w:tc>
          <w:tcPr>
            <w:tcW w:type="dxa" w:w="3322"/>
          </w:tcPr>
          <w:p>
            <w:pPr>
              <w:pStyle w:val="null3"/>
            </w:pPr>
            <w:r>
              <w:rPr>
                <w:rFonts w:ascii="仿宋_GB2312" w:hAnsi="仿宋_GB2312" w:cs="仿宋_GB2312" w:eastAsia="仿宋_GB2312"/>
              </w:rPr>
              <w:t>具备建设行政主管部门核发的消防设施工程专业承包资质二级及以上或建筑工程施工总承包三级（含三级）以上资质，具备有效的安全生产许可证；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拟派项⽬负责⼈</w:t>
            </w:r>
          </w:p>
        </w:tc>
        <w:tc>
          <w:tcPr>
            <w:tcW w:type="dxa" w:w="3322"/>
          </w:tcPr>
          <w:p>
            <w:pPr>
              <w:pStyle w:val="null3"/>
            </w:pPr>
            <w:r>
              <w:rPr>
                <w:rFonts w:ascii="仿宋_GB2312" w:hAnsi="仿宋_GB2312" w:cs="仿宋_GB2312" w:eastAsia="仿宋_GB2312"/>
              </w:rPr>
              <w:t>具备机电专业或建筑工程专业二级及以上注册建造师执业资格，并具备有效的安全生产考核合格证书(B证)，拟派往本项目的项目经理必须为本企业注册的建造师，且未担任其它在建工程的项目经理；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 2024 或 2025 年经审计的财务报告（审计报告应当经过注册会计师行业统一监管平台备案赋码，成立时间至提交投标文件截止时间不足一年的可提供成立后任意时段的资产负债表），或自公告发布之日起至响应文件截止时间前其基本存款账户开户银行出具的资信证明，并附基本存款账户账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提供开标截⽌时间前半年内任意⼀个⽉的纳税证明或完税证明；依法免税的单位应 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的供应商；以开标时查询结果为准。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 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参数表有要求的从其要求，参数表无要求的可提供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供应商针对本项目提出实施方案，包含但不限于①供货方案、②维修保养的培训服务、③应急预案等，内容完整、详细、合理、可操作性强，符合项目要求。每项满分1分，缺项不得分 , 每项内容存在缺陷，扣0.5分，扣完为止。缺陷是指内容不合理、虽有内容但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每项内容存在缺陷，扣0.5分，扣完为止。缺陷是指内容不合理、虽有内容但不完善、内容表述前后不一致、套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供应商针对本项目提出培训方案，包含但不限于①培训计划②培训时间及内容③培训方式④培训对象、⑤培训效果考核等，内容完整、详细、合理、可操作性强，符合项目要求。每项满分1分，缺项不得分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进度计划 保障方案</w:t>
            </w:r>
          </w:p>
        </w:tc>
        <w:tc>
          <w:tcPr>
            <w:tcW w:type="dxa" w:w="2492"/>
          </w:tcPr>
          <w:p>
            <w:pPr>
              <w:pStyle w:val="null3"/>
            </w:pPr>
            <w:r>
              <w:rPr>
                <w:rFonts w:ascii="仿宋_GB2312" w:hAnsi="仿宋_GB2312" w:cs="仿宋_GB2312" w:eastAsia="仿宋_GB2312"/>
              </w:rPr>
              <w:t>供应商针对本项目提出进度计划 保障方案，包含但不限于①任务分解与时间安排②阶段划分与里程任务等，内容完整、详细、合理、可操作性强，符合项目要求。每项满分2分，缺项不得分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供应商应提供产品来源渠道证明，包含但不限于原厂授权、销售合同、委托销售协议等相关证明材料。所提供证明材料需明确与本项目相关，并体现与供应商所投的货物品牌型号一致的产品，满分10分，未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近三年内（2023年1月-至今）有同类项目业绩的，每份计2分，计满10分为止。注：业绩以中标通知书或合同为准，时间以中标通知书发出时间或合同签订时间为准。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价格分采用低价优先法计算，即满足本招标文件要求的最低投标报价为评标基准价，其价格分为满分，其它投标人的价格分统一按照下列公式计算：投标报价得分=（评标基准价／投标报价）×价格分分值（精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 学规划及成本控制精准高③安全管理全程覆盖 ④工程质量保证措施⑤施工机械设备配备 ⑥劳动力计划及主要材料供应计划计划效评审标准：方案内容详细完整、针对性强、可 行性高，符合项目实际要求。每项满分2分，缺项不得分，每项内容存在缺陷扣1分，扣完为止。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 ②项目经理部组成③专业化项目经理部组建原则评审标准：方案内容详细完整、针对性 强、可行性高，符合项目实际要求。每项满分2分，缺项不得分，每项内容存在缺陷扣 1分，扣完为止。缺陷是指内容不合理、虽有内容但不完善、内容表述前后不一致、套用其他项目 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 产的技术组织措施②应急预案③危险源分级管控与技术防护体系④安全防护与文明施工 措施⑤多场景应急处置预案与演练机制评审标准：方案内容详细完整、针对性强、可行 性高，符合项目实际要求。每项满分2分，缺项不得分，每项内容存在缺陷扣1分，扣完为止。缺陷是指内容不合理、虽有内容但不完善、内容表述前后不一致、套用其他项目方案或与 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 工的技术措施②环境保护措施③施工区域标准化封闭管理措施④精细化扬尘与噪音防控 技术方案⑤施工废弃物分类处理与资源化利用措施评审标准：方案内容详细完整、针对 性强、可行性高，符合项目实际要求。每项满分2分，缺项不得分，每项内容存在缺陷 扣1分，扣完为止。缺陷是指内容不合理、虽有内容但不完善、内容表述前后不一致、套用其他项 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 确保工期的技术措施③分阶段精细化施工进度计划编制评审标准：方案内容详细完整、 针对性强、可行性高，符合项目实际要求。每项满分2分，缺项不得分，每项内容存在 缺陷扣1分，扣完为止。缺陷是指内容不合理、虽有内容但不完善、内容表述前后不一致、套用其他项目方案或与项目需求不匹配及其他不利于项目实施的任意一种情形。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季节性施工管理防范措施</w:t>
            </w:r>
          </w:p>
        </w:tc>
        <w:tc>
          <w:tcPr>
            <w:tcW w:type="dxa" w:w="2492"/>
          </w:tcPr>
          <w:p>
            <w:pPr>
              <w:pStyle w:val="null3"/>
            </w:pPr>
            <w:r>
              <w:rPr>
                <w:rFonts w:ascii="仿宋_GB2312" w:hAnsi="仿宋_GB2312" w:cs="仿宋_GB2312" w:eastAsia="仿宋_GB2312"/>
              </w:rPr>
              <w:t>针对本项目季节性施工管理防范措施，内容包括但不限于①场地适配系统升级与动态监测措施②工序优化与季节适配作业保障机制③季节性施工管理防范综合措施评审标准：方案内容详 细完整、针对性强、可行性高，符合项目实际要求。每项满分2分，缺项不得分，每项 内容存在缺陷扣1分，扣完为止。缺陷是指内容不合理、虽有内容但不完善、内容表述前后不一致 、套用其他项目方案或与项目需求不匹配及其他不利于项目实施的任意一种情形。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垃圾清运 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 案 评审标准：方案内容详细完整、针对性强、可行性高，符合项目实际要求。每项满 分2分，缺项不得分，每项内容存在缺陷扣1分，扣完为止。缺陷是指内容不合理、虽有内容但不完善、内容表述前后不一致、套用其他项目方案或与项目需求不匹配及其他不利于项目 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 ③质量保修期内的服务承诺④合理化建议评审标准：方案内容详细完整、针对性强、可行性高，符合项目实际要求。每项满分2分，缺项不得分，每项内容存在缺陷扣1分，扣完为止。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近三年内（2023年1月-至今）有类似项目业绩的，每份计2分，计满8分为止。注：业绩以中标通知书或合同为准，时间以中标通知书发出时间或合同签订时间为准。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 他供应商的价格分统一按照下列公式计算：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