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版本号：SXLX-HW-2026-00820260515001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血检科核酸检测试剂B</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SXLX-HW-2026-008</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血检科核酸检测试剂B</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SXLX-HW-2026-008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血检科核酸检测试剂B</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为保证临床输血安全，向临床及时提供安全有效的血液制品，拟通过招标方式采购部分检测试剂及实验耗材。（详见采购文件）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并进行电子签章。</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p>
      <w:pPr>
        <w:pStyle w:val="null3"/>
      </w:pPr>
      <w:r>
        <w:rPr>
          <w:rFonts w:ascii="仿宋_GB2312" w:hAnsi="仿宋_GB2312" w:cs="仿宋_GB2312" w:eastAsia="仿宋_GB2312"/>
        </w:rPr>
        <w:t>5、能力书面声明：具有履行合同所必需的设备和专业技术能力的书面声明；</w:t>
      </w:r>
    </w:p>
    <w:p>
      <w:pPr>
        <w:pStyle w:val="null3"/>
      </w:pPr>
      <w:r>
        <w:rPr>
          <w:rFonts w:ascii="仿宋_GB2312" w:hAnsi="仿宋_GB2312" w:cs="仿宋_GB2312" w:eastAsia="仿宋_GB2312"/>
        </w:rPr>
        <w:t>6、无重大违法记录：近3年内在经营活动中没有重大违法记录的书面声明；</w:t>
      </w:r>
    </w:p>
    <w:p>
      <w:pPr>
        <w:pStyle w:val="null3"/>
      </w:pPr>
      <w:r>
        <w:rPr>
          <w:rFonts w:ascii="仿宋_GB2312" w:hAnsi="仿宋_GB2312" w:cs="仿宋_GB2312" w:eastAsia="仿宋_GB2312"/>
        </w:rPr>
        <w:t>7、供应商信用：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p>
      <w:pPr>
        <w:pStyle w:val="null3"/>
      </w:pPr>
      <w:r>
        <w:rPr>
          <w:rFonts w:ascii="仿宋_GB2312" w:hAnsi="仿宋_GB2312" w:cs="仿宋_GB2312" w:eastAsia="仿宋_GB2312"/>
        </w:rPr>
        <w:t>8、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9、承诺书1：供应商提供质量保证承诺书；</w:t>
      </w:r>
    </w:p>
    <w:p>
      <w:pPr>
        <w:pStyle w:val="null3"/>
      </w:pPr>
      <w:r>
        <w:rPr>
          <w:rFonts w:ascii="仿宋_GB2312" w:hAnsi="仿宋_GB2312" w:cs="仿宋_GB2312" w:eastAsia="仿宋_GB2312"/>
        </w:rPr>
        <w:t>10、承诺书2：供应商提供关联关系与廉洁承诺书；</w:t>
      </w:r>
    </w:p>
    <w:p>
      <w:pPr>
        <w:pStyle w:val="null3"/>
      </w:pPr>
      <w:r>
        <w:rPr>
          <w:rFonts w:ascii="仿宋_GB2312" w:hAnsi="仿宋_GB2312" w:cs="仿宋_GB2312" w:eastAsia="仿宋_GB2312"/>
        </w:rPr>
        <w:t>11、企业资质：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12、本项目不接受联合体投标：本项目不接受联合体投标；（提供书面承诺，加盖供应商公章）；并进行电子签章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029-87519950-809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及（发改办价格[2011]534号）的规定计费，由成交供应商一次性支付给陕西立信工程项目管理有限公司。 2、代理服务费缴纳账户： 户 名：陕西立信工程项目管理有限公司 账 号：129903881810301 开户行：招商银行西安朝阳门支行。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联系人：孔祥妍、张菲</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为保证临床输血安全，向临床及时提供安全有效的血液制品，拟通过招标方式采购部分检测试剂及实验耗材。（详见采购文件）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5,400,000.00</w:t>
      </w:r>
    </w:p>
    <w:p>
      <w:pPr>
        <w:pStyle w:val="null3"/>
      </w:pPr>
      <w:r>
        <w:rPr>
          <w:rFonts w:ascii="仿宋_GB2312" w:hAnsi="仿宋_GB2312" w:cs="仿宋_GB2312" w:eastAsia="仿宋_GB2312"/>
        </w:rPr>
        <w:t>采购包最高限价（元）: 5,400,000.00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乙型肝炎病毒丙型肝炎病毒人类免疫缺陷病毒核酸检测试剂盒（PCR-荧光法）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标的名称：乙型肝炎病毒丙型肝炎病毒人类免疫缺陷病毒核酸检测试剂盒（PCR-荧光法）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sz w:val="21"/>
              </w:rPr>
              <w:t>为保证临床输血安全，向临床及时提供安全有效的血液制品，拟通过招标方式采购部分检测试剂及实验耗材。</w:t>
            </w:r>
          </w:p>
          <w:p>
            <w:pPr>
              <w:pStyle w:val="null3"/>
              <w:ind w:firstLine="402"/>
              <w:jc w:val="both"/>
            </w:pPr>
            <w:r>
              <w:rPr>
                <w:rFonts w:ascii="仿宋_GB2312" w:hAnsi="仿宋_GB2312" w:cs="仿宋_GB2312" w:eastAsia="仿宋_GB2312"/>
                <w:sz w:val="21"/>
                <w:b/>
              </w:rPr>
              <w:t>二、</w:t>
            </w:r>
            <w:r>
              <w:rPr>
                <w:rFonts w:ascii="仿宋_GB2312" w:hAnsi="仿宋_GB2312" w:cs="仿宋_GB2312" w:eastAsia="仿宋_GB2312"/>
                <w:sz w:val="21"/>
                <w:b/>
              </w:rPr>
              <w:t>采购内容（包括采购品目、规格和数量）</w:t>
            </w:r>
          </w:p>
          <w:tbl>
            <w:tblPr>
              <w:tblInd w:type="dxa" w:w="255"/>
              <w:tblBorders>
                <w:top w:val="none" w:color="000000" w:sz="4"/>
                <w:left w:val="none" w:color="000000" w:sz="4"/>
                <w:bottom w:val="none" w:color="000000" w:sz="4"/>
                <w:right w:val="none" w:color="000000" w:sz="4"/>
                <w:insideH w:val="none"/>
                <w:insideV w:val="none"/>
              </w:tblBorders>
            </w:tblPr>
            <w:tblGrid>
              <w:gridCol w:w="205"/>
              <w:gridCol w:w="1139"/>
              <w:gridCol w:w="292"/>
              <w:gridCol w:w="347"/>
              <w:gridCol w:w="55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标段</w:t>
                  </w:r>
                </w:p>
              </w:tc>
              <w:tc>
                <w:tcPr>
                  <w:tcW w:type="dxa" w:w="1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物品名称</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预算金额（元）</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血检科核酸检测试剂B</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5400000</w:t>
                  </w:r>
                </w:p>
              </w:tc>
            </w:tr>
          </w:tbl>
          <w:p>
            <w:pPr>
              <w:pStyle w:val="null3"/>
              <w:jc w:val="both"/>
            </w:pPr>
            <w:r>
              <w:rPr>
                <w:rFonts w:ascii="仿宋_GB2312" w:hAnsi="仿宋_GB2312" w:cs="仿宋_GB2312" w:eastAsia="仿宋_GB2312"/>
                <w:sz w:val="21"/>
                <w:b/>
              </w:rPr>
              <w:t xml:space="preserve">  三、技术要求（包括对产品的认证、检验报告等）</w:t>
            </w:r>
          </w:p>
          <w:p>
            <w:pPr>
              <w:pStyle w:val="null3"/>
              <w:ind w:firstLine="400"/>
              <w:jc w:val="both"/>
            </w:pPr>
            <w:r>
              <w:rPr>
                <w:rFonts w:ascii="仿宋_GB2312" w:hAnsi="仿宋_GB2312" w:cs="仿宋_GB2312" w:eastAsia="仿宋_GB2312"/>
                <w:sz w:val="21"/>
              </w:rPr>
              <w:t>血检科核酸检测试剂B</w:t>
            </w:r>
          </w:p>
          <w:p>
            <w:pPr>
              <w:pStyle w:val="null3"/>
              <w:ind w:firstLine="400"/>
              <w:jc w:val="both"/>
            </w:pPr>
            <w:r>
              <w:rPr>
                <w:rFonts w:ascii="仿宋_GB2312" w:hAnsi="仿宋_GB2312" w:cs="仿宋_GB2312" w:eastAsia="仿宋_GB2312"/>
                <w:sz w:val="21"/>
              </w:rPr>
              <w:t>1.试剂检测项目：乙肝病毒DNA、丙肝病毒RNA，人免疫缺陷病毒RNA。要求是HBV/HCV/HIV联检试剂，采取汇集模式；</w:t>
            </w:r>
          </w:p>
          <w:p>
            <w:pPr>
              <w:pStyle w:val="null3"/>
              <w:ind w:firstLine="400"/>
              <w:jc w:val="both"/>
            </w:pPr>
            <w:r>
              <w:rPr>
                <w:rFonts w:ascii="仿宋_GB2312" w:hAnsi="仿宋_GB2312" w:cs="仿宋_GB2312" w:eastAsia="仿宋_GB2312"/>
                <w:sz w:val="21"/>
              </w:rPr>
              <w:t>2.试剂每一人份应包含检测所需的所有试剂、试验耗材、对照品、质控品和试剂损耗；</w:t>
            </w:r>
          </w:p>
          <w:p>
            <w:pPr>
              <w:pStyle w:val="null3"/>
              <w:ind w:firstLine="400"/>
              <w:jc w:val="both"/>
            </w:pPr>
            <w:r>
              <w:rPr>
                <w:rFonts w:ascii="仿宋_GB2312" w:hAnsi="仿宋_GB2312" w:cs="仿宋_GB2312" w:eastAsia="仿宋_GB2312"/>
                <w:sz w:val="21"/>
              </w:rPr>
              <w:t>3.试剂原理基于荧光PCR技术。试剂的分析灵敏度（≥95％置信度）要求:HBV≤4IU/mL、HCV ≤12 IU/ml、HIV ≤50 IU/ml；</w:t>
            </w:r>
          </w:p>
          <w:p>
            <w:pPr>
              <w:pStyle w:val="null3"/>
              <w:ind w:firstLine="400"/>
              <w:jc w:val="both"/>
            </w:pPr>
            <w:r>
              <w:rPr>
                <w:rFonts w:ascii="仿宋_GB2312" w:hAnsi="仿宋_GB2312" w:cs="仿宋_GB2312" w:eastAsia="仿宋_GB2312"/>
                <w:sz w:val="21"/>
              </w:rPr>
              <w:t>4.试剂组分设计中有防污染技术，采用国际标准的UNG酶技术或其它防污染技术；</w:t>
            </w:r>
          </w:p>
          <w:p>
            <w:pPr>
              <w:pStyle w:val="null3"/>
              <w:ind w:firstLine="400"/>
              <w:jc w:val="both"/>
            </w:pPr>
            <w:r>
              <w:rPr>
                <w:rFonts w:ascii="仿宋_GB2312" w:hAnsi="仿宋_GB2312" w:cs="仿宋_GB2312" w:eastAsia="仿宋_GB2312"/>
                <w:sz w:val="21"/>
              </w:rPr>
              <w:t>5.试剂应有内对照，全程参与核酸提取和扩增检测过程；</w:t>
            </w:r>
          </w:p>
          <w:p>
            <w:pPr>
              <w:pStyle w:val="null3"/>
              <w:ind w:firstLine="400"/>
              <w:jc w:val="both"/>
            </w:pPr>
            <w:r>
              <w:rPr>
                <w:rFonts w:ascii="仿宋_GB2312" w:hAnsi="仿宋_GB2312" w:cs="仿宋_GB2312" w:eastAsia="仿宋_GB2312"/>
                <w:sz w:val="21"/>
              </w:rPr>
              <w:t>6.对HIV的亚型检出能力强，能够检测基因型HIV-2型；</w:t>
            </w:r>
          </w:p>
          <w:p>
            <w:pPr>
              <w:pStyle w:val="null3"/>
              <w:ind w:firstLine="400"/>
              <w:jc w:val="both"/>
            </w:pPr>
            <w:r>
              <w:rPr>
                <w:rFonts w:ascii="仿宋_GB2312" w:hAnsi="仿宋_GB2312" w:cs="仿宋_GB2312" w:eastAsia="仿宋_GB2312"/>
                <w:sz w:val="21"/>
              </w:rPr>
              <w:t>7.对HBV的亚型检出能力强，能够检测基因型A、B、C、D、E、F、G、H；</w:t>
            </w:r>
          </w:p>
          <w:p>
            <w:pPr>
              <w:pStyle w:val="null3"/>
              <w:ind w:firstLine="400"/>
              <w:jc w:val="both"/>
            </w:pPr>
            <w:r>
              <w:rPr>
                <w:rFonts w:ascii="仿宋_GB2312" w:hAnsi="仿宋_GB2312" w:cs="仿宋_GB2312" w:eastAsia="仿宋_GB2312"/>
                <w:sz w:val="21"/>
              </w:rPr>
              <w:t>8.试剂应带有阴阳性对照，阳性对照应包括所对应的检测病毒种类；</w:t>
            </w:r>
          </w:p>
          <w:p>
            <w:pPr>
              <w:pStyle w:val="null3"/>
              <w:ind w:firstLine="400"/>
              <w:jc w:val="both"/>
            </w:pPr>
            <w:r>
              <w:rPr>
                <w:rFonts w:ascii="仿宋_GB2312" w:hAnsi="仿宋_GB2312" w:cs="仿宋_GB2312" w:eastAsia="仿宋_GB2312"/>
                <w:sz w:val="21"/>
              </w:rPr>
              <w:t>9.试剂应与上海科华生物工程股份有限公司的仪器设备和软件配套使用。</w:t>
            </w:r>
          </w:p>
          <w:p>
            <w:pPr>
              <w:pStyle w:val="null3"/>
              <w:ind w:firstLine="402"/>
              <w:jc w:val="both"/>
            </w:pPr>
            <w:r>
              <w:rPr>
                <w:rFonts w:ascii="仿宋_GB2312" w:hAnsi="仿宋_GB2312" w:cs="仿宋_GB2312" w:eastAsia="仿宋_GB2312"/>
                <w:sz w:val="21"/>
                <w:b/>
              </w:rPr>
              <w:t>四、服务要求</w:t>
            </w:r>
          </w:p>
          <w:p>
            <w:pPr>
              <w:pStyle w:val="null3"/>
              <w:ind w:firstLine="400"/>
              <w:jc w:val="both"/>
            </w:pPr>
            <w:r>
              <w:rPr>
                <w:rFonts w:ascii="仿宋_GB2312" w:hAnsi="仿宋_GB2312" w:cs="仿宋_GB2312" w:eastAsia="仿宋_GB2312"/>
                <w:sz w:val="21"/>
              </w:rPr>
              <w:t>1</w:t>
            </w:r>
            <w:r>
              <w:rPr>
                <w:rFonts w:ascii="仿宋_GB2312" w:hAnsi="仿宋_GB2312" w:cs="仿宋_GB2312" w:eastAsia="仿宋_GB2312"/>
                <w:sz w:val="21"/>
              </w:rPr>
              <w:t>.《药品生产质量管理规范》和《药品经营质量管理规范》认证证书复印件；</w:t>
            </w:r>
          </w:p>
          <w:p>
            <w:pPr>
              <w:pStyle w:val="null3"/>
              <w:ind w:firstLine="400"/>
              <w:jc w:val="both"/>
            </w:pPr>
            <w:r>
              <w:rPr>
                <w:rFonts w:ascii="仿宋_GB2312" w:hAnsi="仿宋_GB2312" w:cs="仿宋_GB2312" w:eastAsia="仿宋_GB2312"/>
                <w:sz w:val="21"/>
              </w:rPr>
              <w:t>2</w:t>
            </w:r>
            <w:r>
              <w:rPr>
                <w:rFonts w:ascii="仿宋_GB2312" w:hAnsi="仿宋_GB2312" w:cs="仿宋_GB2312" w:eastAsia="仿宋_GB2312"/>
                <w:sz w:val="21"/>
              </w:rPr>
              <w:t>.药品的批准证明文件复印件；</w:t>
            </w:r>
          </w:p>
          <w:p>
            <w:pPr>
              <w:pStyle w:val="null3"/>
              <w:ind w:firstLine="400"/>
              <w:jc w:val="both"/>
            </w:pPr>
            <w:r>
              <w:rPr>
                <w:rFonts w:ascii="仿宋_GB2312" w:hAnsi="仿宋_GB2312" w:cs="仿宋_GB2312" w:eastAsia="仿宋_GB2312"/>
                <w:sz w:val="21"/>
              </w:rPr>
              <w:t>3</w:t>
            </w:r>
            <w:r>
              <w:rPr>
                <w:rFonts w:ascii="仿宋_GB2312" w:hAnsi="仿宋_GB2312" w:cs="仿宋_GB2312" w:eastAsia="仿宋_GB2312"/>
                <w:sz w:val="21"/>
              </w:rPr>
              <w:t>.销售人员有效身份证明复印件；</w:t>
            </w:r>
          </w:p>
          <w:p>
            <w:pPr>
              <w:pStyle w:val="null3"/>
              <w:ind w:firstLine="400"/>
              <w:jc w:val="both"/>
            </w:pPr>
            <w:r>
              <w:rPr>
                <w:rFonts w:ascii="仿宋_GB2312" w:hAnsi="仿宋_GB2312" w:cs="仿宋_GB2312" w:eastAsia="仿宋_GB2312"/>
                <w:sz w:val="21"/>
              </w:rPr>
              <w:t>4</w:t>
            </w:r>
            <w:r>
              <w:rPr>
                <w:rFonts w:ascii="仿宋_GB2312" w:hAnsi="仿宋_GB2312" w:cs="仿宋_GB2312" w:eastAsia="仿宋_GB2312"/>
                <w:sz w:val="21"/>
              </w:rPr>
              <w:t>.血源筛查体外诊断试剂的批签发文件；</w:t>
            </w:r>
          </w:p>
          <w:p>
            <w:pPr>
              <w:pStyle w:val="null3"/>
              <w:ind w:firstLine="400"/>
              <w:jc w:val="both"/>
            </w:pPr>
            <w:r>
              <w:rPr>
                <w:rFonts w:ascii="仿宋_GB2312" w:hAnsi="仿宋_GB2312" w:cs="仿宋_GB2312" w:eastAsia="仿宋_GB2312"/>
                <w:sz w:val="21"/>
              </w:rPr>
              <w:t>5</w:t>
            </w:r>
            <w:r>
              <w:rPr>
                <w:rFonts w:ascii="仿宋_GB2312" w:hAnsi="仿宋_GB2312" w:cs="仿宋_GB2312" w:eastAsia="仿宋_GB2312"/>
                <w:sz w:val="21"/>
              </w:rPr>
              <w:t>.出厂质量检验报告等。</w:t>
            </w:r>
          </w:p>
          <w:p>
            <w:pPr>
              <w:pStyle w:val="null3"/>
              <w:ind w:firstLine="402"/>
              <w:jc w:val="both"/>
            </w:pPr>
            <w:r>
              <w:rPr>
                <w:rFonts w:ascii="仿宋_GB2312" w:hAnsi="仿宋_GB2312" w:cs="仿宋_GB2312" w:eastAsia="仿宋_GB2312"/>
                <w:sz w:val="21"/>
                <w:b/>
              </w:rPr>
              <w:t>五、</w:t>
            </w:r>
            <w:r>
              <w:rPr>
                <w:rFonts w:ascii="仿宋_GB2312" w:hAnsi="仿宋_GB2312" w:cs="仿宋_GB2312" w:eastAsia="仿宋_GB2312"/>
                <w:sz w:val="21"/>
                <w:b/>
              </w:rPr>
              <w:t>其他</w:t>
            </w:r>
          </w:p>
          <w:p>
            <w:pPr>
              <w:pStyle w:val="null3"/>
              <w:ind w:firstLine="400"/>
              <w:jc w:val="both"/>
            </w:pPr>
            <w:r>
              <w:rPr>
                <w:rFonts w:ascii="仿宋_GB2312" w:hAnsi="仿宋_GB2312" w:cs="仿宋_GB2312" w:eastAsia="仿宋_GB2312"/>
                <w:sz w:val="21"/>
              </w:rPr>
              <w:t>1.</w:t>
            </w:r>
            <w:r>
              <w:rPr>
                <w:rFonts w:ascii="仿宋_GB2312" w:hAnsi="仿宋_GB2312" w:cs="仿宋_GB2312" w:eastAsia="仿宋_GB2312"/>
                <w:sz w:val="21"/>
              </w:rPr>
              <w:t>供货期：自合同签订之日起一年</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rPr>
              <w:t>2</w:t>
            </w:r>
            <w:r>
              <w:rPr>
                <w:rFonts w:ascii="仿宋_GB2312" w:hAnsi="仿宋_GB2312" w:cs="仿宋_GB2312" w:eastAsia="仿宋_GB2312"/>
                <w:sz w:val="21"/>
              </w:rPr>
              <w:t>.交货期：按照采购人要求分批供货接到甲方供货通知七日内交货；</w:t>
            </w:r>
          </w:p>
          <w:p>
            <w:pPr>
              <w:pStyle w:val="null3"/>
              <w:ind w:firstLine="400"/>
              <w:jc w:val="both"/>
            </w:pPr>
            <w:r>
              <w:rPr>
                <w:rFonts w:ascii="仿宋_GB2312" w:hAnsi="仿宋_GB2312" w:cs="仿宋_GB2312" w:eastAsia="仿宋_GB2312"/>
                <w:sz w:val="21"/>
              </w:rPr>
              <w:t>3</w:t>
            </w:r>
            <w:r>
              <w:rPr>
                <w:rFonts w:ascii="仿宋_GB2312" w:hAnsi="仿宋_GB2312" w:cs="仿宋_GB2312" w:eastAsia="仿宋_GB2312"/>
                <w:sz w:val="21"/>
              </w:rPr>
              <w:t>.交货地点：西安市中心血站指定地点；</w:t>
            </w:r>
          </w:p>
          <w:p>
            <w:pPr>
              <w:pStyle w:val="null3"/>
              <w:ind w:firstLine="400"/>
              <w:jc w:val="both"/>
            </w:pPr>
            <w:r>
              <w:rPr>
                <w:rFonts w:ascii="仿宋_GB2312" w:hAnsi="仿宋_GB2312" w:cs="仿宋_GB2312" w:eastAsia="仿宋_GB2312"/>
                <w:sz w:val="21"/>
              </w:rPr>
              <w:t>4</w:t>
            </w:r>
            <w:r>
              <w:rPr>
                <w:rFonts w:ascii="仿宋_GB2312" w:hAnsi="仿宋_GB2312" w:cs="仿宋_GB2312" w:eastAsia="仿宋_GB2312"/>
                <w:sz w:val="21"/>
              </w:rPr>
              <w:t>.款项结算：合同签订后每满三个月后5个工作日内根据各中标供应商所供试剂的实际数量据实结算一次</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rPr>
              <w:t>5.</w:t>
            </w:r>
            <w:r>
              <w:rPr>
                <w:rFonts w:ascii="仿宋_GB2312" w:hAnsi="仿宋_GB2312" w:cs="仿宋_GB2312" w:eastAsia="仿宋_GB2312"/>
                <w:sz w:val="21"/>
              </w:rPr>
              <w:t>质量验收标准或规范</w:t>
            </w:r>
          </w:p>
          <w:p>
            <w:pPr>
              <w:pStyle w:val="null3"/>
              <w:ind w:firstLine="400"/>
              <w:jc w:val="both"/>
            </w:pPr>
            <w:r>
              <w:rPr>
                <w:rFonts w:ascii="仿宋_GB2312" w:hAnsi="仿宋_GB2312" w:cs="仿宋_GB2312" w:eastAsia="仿宋_GB2312"/>
                <w:sz w:val="21"/>
              </w:rPr>
              <w:t>按现行的国家标准或国家行政部门颁布的法律法规、规章制度以及相应的行业标准等进行货物验收，如发现质量问题应进行退换货。</w:t>
            </w:r>
          </w:p>
          <w:p>
            <w:pPr>
              <w:pStyle w:val="null3"/>
              <w:ind w:firstLine="400"/>
              <w:jc w:val="both"/>
            </w:pPr>
            <w:r>
              <w:rPr>
                <w:rFonts w:ascii="仿宋_GB2312" w:hAnsi="仿宋_GB2312" w:cs="仿宋_GB2312" w:eastAsia="仿宋_GB2312"/>
                <w:sz w:val="21"/>
              </w:rPr>
              <w:t>6.</w:t>
            </w:r>
            <w:r>
              <w:rPr>
                <w:rFonts w:ascii="仿宋_GB2312" w:hAnsi="仿宋_GB2312" w:cs="仿宋_GB2312" w:eastAsia="仿宋_GB2312"/>
                <w:sz w:val="21"/>
              </w:rPr>
              <w:t>产品质保期</w:t>
            </w:r>
          </w:p>
          <w:p>
            <w:pPr>
              <w:pStyle w:val="null3"/>
              <w:ind w:firstLine="400"/>
              <w:jc w:val="both"/>
            </w:pPr>
            <w:r>
              <w:rPr>
                <w:rFonts w:ascii="仿宋_GB2312" w:hAnsi="仿宋_GB2312" w:cs="仿宋_GB2312" w:eastAsia="仿宋_GB2312"/>
                <w:sz w:val="21"/>
              </w:rPr>
              <w:t>保质期：收货后有效期≥6个月。在使用期间如出现质量问题，供货方应随时予以更换，保证血液检测工作的正常进行。</w:t>
            </w:r>
          </w:p>
          <w:p>
            <w:pPr>
              <w:pStyle w:val="null3"/>
              <w:ind w:firstLine="400"/>
              <w:jc w:val="both"/>
            </w:pPr>
            <w:r>
              <w:rPr>
                <w:rFonts w:ascii="仿宋_GB2312" w:hAnsi="仿宋_GB2312" w:cs="仿宋_GB2312" w:eastAsia="仿宋_GB2312"/>
                <w:sz w:val="21"/>
              </w:rPr>
              <w:t>7.</w:t>
            </w:r>
            <w:r>
              <w:rPr>
                <w:rFonts w:ascii="仿宋_GB2312" w:hAnsi="仿宋_GB2312" w:cs="仿宋_GB2312" w:eastAsia="仿宋_GB2312"/>
                <w:sz w:val="21"/>
              </w:rPr>
              <w:t>违约责任</w:t>
            </w:r>
          </w:p>
          <w:p>
            <w:pPr>
              <w:pStyle w:val="null3"/>
              <w:ind w:firstLine="400"/>
              <w:jc w:val="both"/>
            </w:pPr>
            <w:r>
              <w:rPr>
                <w:rFonts w:ascii="仿宋_GB2312" w:hAnsi="仿宋_GB2312" w:cs="仿宋_GB2312" w:eastAsia="仿宋_GB2312"/>
                <w:sz w:val="21"/>
              </w:rPr>
              <w:t>一般与合同款项的支付相关，注意不要超出《民法典》中对于违约的责任上限。</w:t>
            </w:r>
          </w:p>
          <w:p>
            <w:pPr>
              <w:pStyle w:val="null3"/>
              <w:ind w:firstLine="40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根据采购文件要求及合同约定执行，满足采购人使用要求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根据采购文件要求及合同约定执行，满足采购人使用要求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2、无需提供纸质响应文件， 成交供应商在领取中标通知书时提供纸质响应文件三份（一正两副），纸质版文件须是电子化交易平台系统生成的响应文件。 3、在政府采购中实施本国产品标准及相关政策（本条为政策宣导，本项目不接受进口产品） （1）根据《国务院办公厅关于在政府采购中实施本国产品标准及相关政策的通知》（国办发〔2025〕34号）、关于贯彻落实《国务院办公厅关于在政府采购中实施本国产品标准及相关政策的通知》的意见（财库〔2025〕30号）的有关规定供应商为该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其评标价=投标报价（1-20%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能力书面声明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承诺书1</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承诺书2</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开标一览表.docx 业绩.docx 符合本国产品标准的声明函.docx 中小企业声明函 商务应答表.docx 投标人应提交的相关资格证明材料.docx 投标函 供应商廉洁自律承诺书.docx 供应商认为有必要补充说明的事项.docx 残疾人福利性单位声明函 标的清单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开标一览表.docx 业绩.docx 符合本国产品标准的声明函.docx 中小企业声明函 商务应答表.docx 投标人应提交的相关资格证明材料.docx 投标函 供应商廉洁自律承诺书.docx 供应商认为有必要补充说明的事项.docx 残疾人福利性单位声明函 标的清单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开标一览表.docx 业绩.docx 符合本国产品标准的声明函.docx 中小企业声明函 商务应答表.docx 投标人应提交的相关资格证明材料.docx 投标函 供应商廉洁自律承诺书.docx 供应商认为有必要补充说明的事项.docx 残疾人福利性单位声明函 标的清单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未超出采购预算或最高限价</w:t>
            </w:r>
          </w:p>
        </w:tc>
        <w:tc>
          <w:tcPr>
            <w:tcW w:type="dxa" w:w="1661"/>
          </w:tcPr>
          <w:p>
            <w:pPr>
              <w:pStyle w:val="null3"/>
            </w:pPr>
            <w:r>
              <w:rPr>
                <w:rFonts w:ascii="仿宋_GB2312" w:hAnsi="仿宋_GB2312" w:cs="仿宋_GB2312" w:eastAsia="仿宋_GB2312"/>
              </w:rPr>
              <w:t>开标一览表.docx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开标一览表.docx 标的清单 投标文件封面 商务应答表.docx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没有出现法律法规或投标文件明确规定</w:t>
            </w:r>
          </w:p>
        </w:tc>
        <w:tc>
          <w:tcPr>
            <w:tcW w:type="dxa" w:w="1661"/>
          </w:tcPr>
          <w:p>
            <w:pPr>
              <w:pStyle w:val="null3"/>
            </w:pPr>
            <w:r>
              <w:rPr>
                <w:rFonts w:ascii="仿宋_GB2312" w:hAnsi="仿宋_GB2312" w:cs="仿宋_GB2312" w:eastAsia="仿宋_GB2312"/>
              </w:rPr>
              <w:t>开标一览表.docx 业绩.docx 符合本国产品标准的声明函.docx 中小企业声明函 商务应答表.docx 投标人应提交的相关资格证明材料.docx 投标函 供应商廉洁自律承诺书.docx 供应商认为有必要补充说明的事项.docx 残疾人福利性单位声明函 标的清单 投标文件封面 产品技术参数表.docx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产品技术指标评审</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27分;负偏离一条扣3分;扣完为止。评审依据:提供生产厂家确认的具有相应的功能证明材料(投标产品彩页(如有)、(产品)说明书、认证证书、检测/检验报告等，官网截图等)，技术偏离表中的投标响应，未提供技术支持文件，视为偏离(不满足)。</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1、服务、实施方案详尽，科学，合理，项目团队人员配备充足(提供专职人员名单及联系方式、有效身份证复印件)，技术能力出众(提供相关资格证书)，人员分工合理，得6分;2、服务、实施方案较为合理，项目团队人员分工基本合理，得4分;3、投标人对服务、实施方案进行了响应，但缺少详细方案，得2分;4、缺少服务、实施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仓储、设施设备及配送方案</w:t>
            </w:r>
          </w:p>
        </w:tc>
        <w:tc>
          <w:tcPr>
            <w:tcW w:type="dxa" w:w="2492"/>
          </w:tcPr>
          <w:p>
            <w:pPr>
              <w:pStyle w:val="null3"/>
            </w:pPr>
            <w:r>
              <w:rPr>
                <w:rFonts w:ascii="仿宋_GB2312" w:hAnsi="仿宋_GB2312" w:cs="仿宋_GB2312" w:eastAsia="仿宋_GB2312"/>
              </w:rPr>
              <w:t>与投标产品(试剂)相适应的仓储及设施设备，具有完整的储运系统。(1)提供库房(符合投标产品储存)证明材料，证明材料完善得1分，证明材料不完 善或未提供证明材料得0分。(2)提供试剂供应及运输方案。1、方案科学合理得4分；2、方案一般2分，3、未提供方案者得0分。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可能发生的各种紧急情况(公共卫生服务等)提供相应的应急响应及应急措施预案，根据预案的全面性、可操作性横向比较，综合评价。1、方案完整全面、科学合理，可实施行强，得4分;2、方案基本合理可行，得2分;3、方案合理性较差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投标人提供产品合法来源证明渠道，包括但不限于销售协议、代理协议、原厂授权或承诺书等，提供得2分，未提供的不得分。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技术支持及培训</w:t>
            </w:r>
          </w:p>
        </w:tc>
        <w:tc>
          <w:tcPr>
            <w:tcW w:type="dxa" w:w="2492"/>
          </w:tcPr>
          <w:p>
            <w:pPr>
              <w:pStyle w:val="null3"/>
            </w:pPr>
            <w:r>
              <w:rPr>
                <w:rFonts w:ascii="仿宋_GB2312" w:hAnsi="仿宋_GB2312" w:cs="仿宋_GB2312" w:eastAsia="仿宋_GB2312"/>
              </w:rPr>
              <w:t>根据投标人提供的“技术支持方式、技术支持手段、人员配置（提供清单及简介）培训内容、培训形式、培训次数、用户参加培训人次数、培训授课讲师清单及介绍）若有原厂培训讲师，请注明）。” 1、计划详细、具体，内容齐全，针对性强，可行性强，保证使用单位能熟练操作维护和正常使用，得8分； 2、计划内容较齐全，较有针对性，较有可行性，保证使用单位能熟练操作维护和正常使用，得5分； 3、计划内容基本齐全，基本可行，保证使用单位能熟练操作维护和正常使用，得3分。 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包含但不限于售后服务承诺、售后服务体系及人员配置、服务内容、响应时间、退换货等。根据售后方案的详略程度、针对性、实施性综合评价。1、方案详细具体、针对性强、具有切实可行的可实施性，得10分;2、方案较为详细、针对性一般，具有一定的实施性，得7分;3、方案内容简单、针对性一般、可实施性较差，得4分；4、方案无针对性、可实施性差，得1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提供投标人2023年1月1日至今（以合同签订日期为准），所投产品业绩合同，一个业绩计2分，最高8分。评审依据:完整合同复印件加盖公章。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详见附件：符合本国产品标准的声明函.docx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