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C0927">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34A011E9">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60B5DE46">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4EB9F89">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512AE983">
      <w:pPr>
        <w:pStyle w:val="2"/>
        <w:rPr>
          <w:rFonts w:hint="eastAsia" w:ascii="Times New Roman" w:hAnsi="Times New Roman" w:eastAsia="宋体" w:cs="Times New Roman"/>
          <w:color w:val="auto"/>
          <w:kern w:val="2"/>
          <w:sz w:val="21"/>
          <w:szCs w:val="21"/>
          <w:highlight w:val="none"/>
          <w:lang w:val="en-US" w:eastAsia="zh-CN" w:bidi="ar-SA"/>
        </w:rPr>
      </w:pPr>
    </w:p>
    <w:p w14:paraId="6383D7EE">
      <w:pPr>
        <w:rPr>
          <w:rFonts w:hint="eastAsia"/>
          <w:lang w:val="en-US" w:eastAsia="zh-CN"/>
        </w:rPr>
      </w:pPr>
    </w:p>
    <w:p w14:paraId="433DD44F">
      <w:pPr>
        <w:pStyle w:val="4"/>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陕西省自然灾害综合风险公路数据库动态更新与灾毁损失报送</w:t>
      </w:r>
    </w:p>
    <w:p w14:paraId="19DB98DD">
      <w:pPr>
        <w:pStyle w:val="4"/>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服务合同示例</w:t>
      </w:r>
      <w:bookmarkStart w:id="3" w:name="_GoBack"/>
      <w:bookmarkEnd w:id="3"/>
    </w:p>
    <w:p w14:paraId="1DA3812A">
      <w:pPr>
        <w:spacing w:line="324" w:lineRule="auto"/>
        <w:rPr>
          <w:rFonts w:hint="eastAsia" w:ascii="Times New Roman" w:hAnsi="宋体" w:eastAsia="宋体" w:cs="宋体"/>
          <w:color w:val="auto"/>
          <w:sz w:val="18"/>
          <w:szCs w:val="21"/>
          <w:highlight w:val="none"/>
        </w:rPr>
      </w:pPr>
    </w:p>
    <w:p w14:paraId="41B8D73E">
      <w:pPr>
        <w:spacing w:line="324" w:lineRule="auto"/>
        <w:rPr>
          <w:rFonts w:hint="eastAsia" w:ascii="Times New Roman" w:hAnsi="宋体" w:eastAsia="宋体" w:cs="宋体"/>
          <w:color w:val="auto"/>
          <w:sz w:val="18"/>
          <w:szCs w:val="21"/>
          <w:highlight w:val="none"/>
        </w:rPr>
      </w:pPr>
    </w:p>
    <w:p w14:paraId="40C909D4">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6D8F8D63">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E1A1CE0">
      <w:pPr>
        <w:spacing w:line="324" w:lineRule="auto"/>
        <w:rPr>
          <w:rFonts w:hint="eastAsia" w:ascii="Times New Roman" w:hAnsi="宋体" w:eastAsia="宋体" w:cs="宋体"/>
          <w:color w:val="auto"/>
          <w:sz w:val="18"/>
          <w:szCs w:val="21"/>
          <w:highlight w:val="none"/>
        </w:rPr>
      </w:pPr>
    </w:p>
    <w:p w14:paraId="07725355">
      <w:pPr>
        <w:spacing w:line="324" w:lineRule="auto"/>
        <w:rPr>
          <w:rFonts w:hint="eastAsia" w:ascii="Times New Roman" w:hAnsi="宋体" w:eastAsia="宋体" w:cs="宋体"/>
          <w:color w:val="auto"/>
          <w:sz w:val="18"/>
          <w:szCs w:val="21"/>
          <w:highlight w:val="none"/>
        </w:rPr>
      </w:pPr>
    </w:p>
    <w:p w14:paraId="332954C3">
      <w:pPr>
        <w:spacing w:line="324" w:lineRule="auto"/>
        <w:jc w:val="center"/>
        <w:rPr>
          <w:rFonts w:hint="eastAsia" w:ascii="Times New Roman" w:hAnsi="宋体" w:eastAsia="宋体" w:cs="宋体"/>
          <w:b/>
          <w:color w:val="auto"/>
          <w:sz w:val="28"/>
          <w:szCs w:val="28"/>
          <w:highlight w:val="none"/>
        </w:rPr>
      </w:pPr>
    </w:p>
    <w:p w14:paraId="4D559474">
      <w:pPr>
        <w:spacing w:before="163" w:beforeLines="50" w:line="360" w:lineRule="auto"/>
        <w:rPr>
          <w:rFonts w:hint="eastAsia" w:ascii="Times New Roman" w:hAnsi="宋体" w:eastAsia="宋体" w:cs="宋体"/>
          <w:bCs/>
          <w:color w:val="auto"/>
          <w:sz w:val="40"/>
          <w:szCs w:val="40"/>
          <w:highlight w:val="none"/>
        </w:rPr>
      </w:pPr>
    </w:p>
    <w:p w14:paraId="4DDB89DC">
      <w:pPr>
        <w:spacing w:before="163" w:beforeLines="50" w:line="360" w:lineRule="auto"/>
        <w:jc w:val="center"/>
        <w:rPr>
          <w:rFonts w:hint="eastAsia" w:ascii="Times New Roman" w:hAnsi="宋体" w:eastAsia="宋体" w:cs="宋体"/>
          <w:b/>
          <w:bCs/>
          <w:color w:val="auto"/>
          <w:sz w:val="28"/>
          <w:szCs w:val="28"/>
          <w:highlight w:val="none"/>
        </w:rPr>
      </w:pPr>
    </w:p>
    <w:p w14:paraId="5F9D8EC3">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陕西省公路局    </w:t>
      </w:r>
    </w:p>
    <w:p w14:paraId="013FCB87">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501A2B83">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349F990D">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67C3B0E2">
      <w:pPr>
        <w:keepNext w:val="0"/>
        <w:keepLines w:val="0"/>
        <w:pageBreakBefore w:val="0"/>
        <w:wordWrap/>
        <w:overflowPunct/>
        <w:topLinePunct w:val="0"/>
        <w:autoSpaceDE/>
        <w:autoSpaceDN/>
        <w:bidi w:val="0"/>
        <w:adjustRightInd/>
        <w:spacing w:before="157" w:beforeLines="50" w:line="560" w:lineRule="exact"/>
        <w:jc w:val="center"/>
        <w:textAlignment w:val="auto"/>
        <w:outlineLvl w:val="0"/>
        <w:rPr>
          <w:rFonts w:hint="eastAsia" w:ascii="国标仿宋-GB/T 2312" w:hAnsi="国标仿宋-GB/T 2312" w:eastAsia="国标仿宋-GB/T 2312" w:cs="国标仿宋-GB/T 2312"/>
          <w:b/>
          <w:bCs/>
          <w:color w:val="auto"/>
          <w:sz w:val="36"/>
          <w:szCs w:val="36"/>
          <w:highlight w:val="none"/>
          <w:lang w:eastAsia="zh-CN"/>
        </w:rPr>
      </w:pPr>
      <w:r>
        <w:rPr>
          <w:rFonts w:hint="eastAsia" w:ascii="国标仿宋-GB/T 2312" w:hAnsi="国标仿宋-GB/T 2312" w:eastAsia="国标仿宋-GB/T 2312" w:cs="国标仿宋-GB/T 2312"/>
          <w:b/>
          <w:bCs/>
          <w:color w:val="auto"/>
          <w:sz w:val="36"/>
          <w:szCs w:val="36"/>
          <w:highlight w:val="none"/>
          <w:lang w:eastAsia="zh-CN"/>
        </w:rPr>
        <w:t>合同协议书</w:t>
      </w:r>
    </w:p>
    <w:p w14:paraId="2692BCA4">
      <w:pPr>
        <w:keepNext w:val="0"/>
        <w:keepLines w:val="0"/>
        <w:pageBreakBefore w:val="0"/>
        <w:wordWrap/>
        <w:overflowPunct/>
        <w:topLinePunct w:val="0"/>
        <w:autoSpaceDE/>
        <w:autoSpaceDN/>
        <w:bidi w:val="0"/>
        <w:adjustRightInd/>
        <w:spacing w:line="560" w:lineRule="exact"/>
        <w:ind w:firstLine="482" w:firstLineChars="200"/>
        <w:textAlignment w:val="auto"/>
        <w:rPr>
          <w:rFonts w:hint="eastAsia" w:ascii="国标仿宋-GB/T 2312" w:hAnsi="国标仿宋-GB/T 2312" w:eastAsia="国标仿宋-GB/T 2312" w:cs="国标仿宋-GB/T 2312"/>
          <w:b/>
          <w:bCs/>
          <w:color w:val="auto"/>
          <w:sz w:val="24"/>
          <w:szCs w:val="24"/>
          <w:highlight w:val="none"/>
          <w:u w:val="none"/>
        </w:rPr>
      </w:pPr>
    </w:p>
    <w:p w14:paraId="5F149164">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single"/>
          <w:lang w:val="en-US" w:eastAsia="zh-CN"/>
        </w:rPr>
      </w:pPr>
      <w:r>
        <w:rPr>
          <w:rFonts w:hint="eastAsia" w:ascii="国标仿宋-GB/T 2312" w:hAnsi="国标仿宋-GB/T 2312" w:eastAsia="国标仿宋-GB/T 2312" w:cs="国标仿宋-GB/T 2312"/>
          <w:b/>
          <w:bCs/>
          <w:color w:val="auto"/>
          <w:sz w:val="28"/>
          <w:szCs w:val="28"/>
          <w:highlight w:val="none"/>
          <w:u w:val="none"/>
        </w:rPr>
        <w:t>甲方（采购人）：</w:t>
      </w:r>
      <w:r>
        <w:rPr>
          <w:rFonts w:hint="eastAsia" w:ascii="国标仿宋-GB/T 2312" w:hAnsi="国标仿宋-GB/T 2312" w:eastAsia="国标仿宋-GB/T 2312" w:cs="国标仿宋-GB/T 2312"/>
          <w:b/>
          <w:bCs/>
          <w:color w:val="auto"/>
          <w:sz w:val="28"/>
          <w:szCs w:val="28"/>
          <w:highlight w:val="none"/>
          <w:u w:val="single"/>
          <w:lang w:val="en-US" w:eastAsia="zh-CN"/>
        </w:rPr>
        <w:t xml:space="preserve">     陕西省公路局                     </w:t>
      </w:r>
    </w:p>
    <w:p w14:paraId="36F525B8">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u w:val="single"/>
          <w:lang w:val="en-US" w:eastAsia="zh-CN"/>
        </w:rPr>
      </w:pPr>
      <w:r>
        <w:rPr>
          <w:rFonts w:hint="eastAsia" w:ascii="国标仿宋-GB/T 2312" w:hAnsi="国标仿宋-GB/T 2312" w:eastAsia="国标仿宋-GB/T 2312" w:cs="国标仿宋-GB/T 2312"/>
          <w:b/>
          <w:bCs/>
          <w:color w:val="auto"/>
          <w:sz w:val="28"/>
          <w:szCs w:val="28"/>
          <w:highlight w:val="none"/>
          <w:u w:val="none"/>
        </w:rPr>
        <w:t>乙方（供应商）：</w:t>
      </w:r>
      <w:r>
        <w:rPr>
          <w:rFonts w:hint="eastAsia" w:ascii="国标仿宋-GB/T 2312" w:hAnsi="国标仿宋-GB/T 2312" w:eastAsia="国标仿宋-GB/T 2312" w:cs="国标仿宋-GB/T 2312"/>
          <w:b/>
          <w:bCs/>
          <w:color w:val="auto"/>
          <w:sz w:val="28"/>
          <w:szCs w:val="28"/>
          <w:highlight w:val="none"/>
          <w:u w:val="single"/>
          <w:lang w:val="en-US" w:eastAsia="zh-CN"/>
        </w:rPr>
        <w:t xml:space="preserve">                                      </w:t>
      </w:r>
    </w:p>
    <w:p w14:paraId="541D11EF">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根据《中华人民共和国民法典》</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lang w:val="en-US" w:eastAsia="zh-CN"/>
        </w:rPr>
        <w:t>中华人民共和国政府采购法</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rPr>
        <w:t>及其他有关法律、法规， 遵循平等、自愿、公平和诚信的原则， 双方就下述项目范围与相关服务事项协商一致， 订立本合同。</w:t>
      </w:r>
    </w:p>
    <w:p w14:paraId="1A0BF827">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一、项目概况</w:t>
      </w:r>
    </w:p>
    <w:p w14:paraId="3C6F8EB8">
      <w:pPr>
        <w:keepNext w:val="0"/>
        <w:keepLines w:val="0"/>
        <w:pageBreakBefore w:val="0"/>
        <w:wordWrap/>
        <w:overflowPunct/>
        <w:topLinePunct w:val="0"/>
        <w:autoSpaceDE/>
        <w:autoSpaceDN/>
        <w:bidi w:val="0"/>
        <w:adjustRightInd/>
        <w:spacing w:line="560" w:lineRule="exact"/>
        <w:ind w:left="2799" w:leftChars="266" w:hanging="2240" w:hangingChars="8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（一）</w:t>
      </w:r>
      <w:r>
        <w:rPr>
          <w:rFonts w:hint="eastAsia" w:ascii="国标仿宋-GB/T 2312" w:hAnsi="国标仿宋-GB/T 2312" w:eastAsia="国标仿宋-GB/T 2312" w:cs="国标仿宋-GB/T 2312"/>
          <w:color w:val="auto"/>
          <w:sz w:val="28"/>
          <w:szCs w:val="28"/>
          <w:highlight w:val="none"/>
          <w:u w:val="none"/>
        </w:rPr>
        <w:t>项目名称</w:t>
      </w:r>
      <w:r>
        <w:rPr>
          <w:rFonts w:hint="eastAsia" w:ascii="国标仿宋-GB/T 2312" w:hAnsi="国标仿宋-GB/T 2312" w:eastAsia="国标仿宋-GB/T 2312" w:cs="国标仿宋-GB/T 2312"/>
          <w:color w:val="auto"/>
          <w:sz w:val="28"/>
          <w:szCs w:val="28"/>
          <w:highlight w:val="none"/>
          <w:u w:val="none"/>
          <w:lang w:eastAsia="zh-CN"/>
        </w:rPr>
        <w:t>：</w:t>
      </w:r>
      <w:r>
        <w:rPr>
          <w:rFonts w:hint="eastAsia" w:ascii="国标仿宋-GB/T 2312" w:hAnsi="国标仿宋-GB/T 2312" w:eastAsia="国标仿宋-GB/T 2312" w:cs="国标仿宋-GB/T 2312"/>
          <w:color w:val="auto"/>
          <w:sz w:val="28"/>
          <w:szCs w:val="28"/>
          <w:highlight w:val="none"/>
          <w:u w:val="single"/>
          <w:lang w:val="en-US" w:eastAsia="zh-CN"/>
        </w:rPr>
        <w:t xml:space="preserve">  陕西省自然灾害综合风险公路数据库动态更新与灾毁损失报送 </w:t>
      </w:r>
    </w:p>
    <w:p w14:paraId="3B1BDE77">
      <w:pPr>
        <w:pStyle w:val="4"/>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b w:val="0"/>
          <w:bCs w:val="0"/>
          <w:u w:val="none"/>
          <w:lang w:val="en-US" w:eastAsia="zh-CN"/>
        </w:rPr>
      </w:pPr>
      <w:r>
        <w:rPr>
          <w:rFonts w:hint="eastAsia" w:ascii="国标仿宋-GB/T 2312" w:hAnsi="国标仿宋-GB/T 2312" w:eastAsia="国标仿宋-GB/T 2312" w:cs="国标仿宋-GB/T 2312"/>
          <w:color w:val="auto"/>
          <w:sz w:val="28"/>
          <w:szCs w:val="28"/>
          <w:highlight w:val="none"/>
          <w:u w:val="none"/>
          <w:lang w:val="en-US" w:eastAsia="zh-CN"/>
        </w:rPr>
        <w:t>（二）项目地点：</w:t>
      </w:r>
      <w:r>
        <w:rPr>
          <w:rFonts w:hint="eastAsia" w:ascii="国标仿宋-GB/T 2312" w:hAnsi="国标仿宋-GB/T 2312" w:eastAsia="国标仿宋-GB/T 2312" w:cs="国标仿宋-GB/T 2312"/>
          <w:b w:val="0"/>
          <w:bCs w:val="0"/>
          <w:color w:val="auto"/>
          <w:sz w:val="28"/>
          <w:szCs w:val="28"/>
          <w:highlight w:val="none"/>
          <w:u w:val="single"/>
          <w:lang w:val="en-US" w:eastAsia="zh-CN"/>
        </w:rPr>
        <w:t xml:space="preserve">  陕西省内                                    </w:t>
      </w:r>
    </w:p>
    <w:p w14:paraId="7D7E6192">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color w:val="auto"/>
          <w:sz w:val="28"/>
          <w:szCs w:val="28"/>
          <w:highlight w:val="none"/>
          <w:u w:val="none"/>
          <w:lang w:val="en-US" w:eastAsia="zh-CN"/>
        </w:rPr>
        <w:t>（三）</w:t>
      </w:r>
      <w:r>
        <w:rPr>
          <w:rFonts w:hint="eastAsia" w:ascii="国标仿宋-GB/T 2312" w:hAnsi="国标仿宋-GB/T 2312" w:eastAsia="国标仿宋-GB/T 2312" w:cs="国标仿宋-GB/T 2312"/>
          <w:color w:val="auto"/>
          <w:sz w:val="28"/>
          <w:szCs w:val="28"/>
          <w:highlight w:val="none"/>
          <w:u w:val="none"/>
        </w:rPr>
        <w:t>服务内容</w:t>
      </w:r>
      <w:r>
        <w:rPr>
          <w:rFonts w:hint="eastAsia" w:ascii="国标仿宋-GB/T 2312" w:hAnsi="国标仿宋-GB/T 2312" w:eastAsia="国标仿宋-GB/T 2312" w:cs="国标仿宋-GB/T 2312"/>
          <w:color w:val="auto"/>
          <w:sz w:val="28"/>
          <w:szCs w:val="28"/>
          <w:highlight w:val="none"/>
          <w:u w:val="none"/>
          <w:lang w:eastAsia="zh-CN"/>
        </w:rPr>
        <w:t>：</w:t>
      </w:r>
      <w:r>
        <w:rPr>
          <w:rFonts w:hint="eastAsia" w:ascii="国标仿宋-GB/T 2312" w:hAnsi="国标仿宋-GB/T 2312" w:eastAsia="国标仿宋-GB/T 2312" w:cs="国标仿宋-GB/T 2312"/>
          <w:sz w:val="28"/>
          <w:szCs w:val="28"/>
        </w:rPr>
        <w:t>甲方委托乙方提供陕西省自然灾害综合风险公路数据库动态更新与灾毁损失报送技术支撑服务。</w:t>
      </w:r>
    </w:p>
    <w:p w14:paraId="606274F2">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乙方在合同约定期限内，依据相关标准规范、技术要求，完成普查风险点动态更新和公路灾毁数据省级质量检查、高风险点核查；每月提交自然灾害风险公路承灾体高风险点情况一览表、公路灾毁情况统计表，提交年度高风险点核查报告等工作。</w:t>
      </w:r>
    </w:p>
    <w:p w14:paraId="349B4B5B">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1.全省普查更新数据质量检查</w:t>
      </w:r>
    </w:p>
    <w:p w14:paraId="051756A6">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数据质量检查指对引入外部数据对我省全部市县上报风险点及灾毁数据的准确性、完备性、一致性等开展检查，包括数据核对、历史信息校核、地理信息检查。所有数据由市县公路交通部门和各收费公路经营公司通过信息采集系统上报，在满足交通运输部普查办数据质量要求下，完成自然灾害综合风险交通行业（公路水路）数据库省级数据检查工作。根据相关制度要求，所有位置信息数据所使用坐标系为2000国家大地坐标系。相关工作要求如下：</w:t>
      </w:r>
    </w:p>
    <w:p w14:paraId="7EC32F97">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（1）遥感基础数据制备：遥感基础数据主要用于核准、补充路网数据，空间基础数据制备。</w:t>
      </w:r>
    </w:p>
    <w:p w14:paraId="70C2675B">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（2）数据信息核对：核对数据的文件格式、字段数量、名称、类型、长度、逻辑关系的准确性。</w:t>
      </w:r>
    </w:p>
    <w:p w14:paraId="5E92E5BF">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（3）数据空间信息核对：风险数据与路网空间数据的一致性检查。核对普查数据的空间属性的一致性、准确性。</w:t>
      </w:r>
    </w:p>
    <w:p w14:paraId="0CD1750F">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（4）数据现场核对：内业工作无法确认准确性的数据，宜采用现场核对的方式检查普查数据的准确性。</w:t>
      </w:r>
    </w:p>
    <w:p w14:paraId="363CB0DB">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（5）检查结果报表及反馈：统计、记录和反馈数据检查情况，按月编写自然灾害风险公路承灾体高风险点情况一览表、公路灾毁情况统计表并反馈上级部门。</w:t>
      </w:r>
    </w:p>
    <w:p w14:paraId="5AA80556">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（6）完成数据合格率100%的数据检查工作，更新交通运输部自然灾害综合风险交通行业数据库信息。</w:t>
      </w:r>
    </w:p>
    <w:p w14:paraId="4575A691">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2.高风险点核查</w:t>
      </w:r>
    </w:p>
    <w:p w14:paraId="24828AE4">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对填报库并审核通过的国省干线公路新增及等级变化的一、二级地质灾害高风险点进行省级核查。核查方式采用内业和外业两种方式。对国省干线新增及等级变化的一、二级地质灾害高风险点各单位上报数据和资料100%进行内业核查；对所有国道以及省市管养的普通省道新增及等级变化的一级地质灾害高风险点和存疑的二级地质灾害高风险点进行100%外业核查，并提出针对性防治建议。</w:t>
      </w:r>
    </w:p>
    <w:p w14:paraId="0F821E26">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（2）内业核查根据各市上报数据和资料，运营管理和养护资料，气象、水文、区域地质资料，公路工程勘察设计资料，公路工程施工、竣工资料，已有的灾种评价资料等进行全面核查。</w:t>
      </w:r>
    </w:p>
    <w:p w14:paraId="01804EBF">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3）采用多种方式进行高风险点现场核查。在充分收集灾害风险资料的基础上，采用仪器对核查对象进行测量，必要时进行挖探钻探、地球物理勘探，坡高路陡人不易到达的部位，辅以航拍、无人机拍摄、三维激光扫描等手段。</w:t>
      </w:r>
    </w:p>
    <w:p w14:paraId="2F2AA950">
      <w:pPr>
        <w:keepNext w:val="0"/>
        <w:keepLines w:val="0"/>
        <w:pageBreakBefore w:val="0"/>
        <w:wordWrap/>
        <w:overflowPunct/>
        <w:topLinePunct w:val="0"/>
        <w:autoSpaceDE/>
        <w:autoSpaceDN/>
        <w:bidi w:val="0"/>
        <w:adjustRightInd/>
        <w:snapToGrid w:val="0"/>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（4）根据核查情况修正风险评级，完善自然灾害风险点信息数据库，形成年度省级高风险点数据核查报告。</w:t>
      </w:r>
    </w:p>
    <w:p w14:paraId="1A9CE68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3.成果要求</w:t>
      </w:r>
    </w:p>
    <w:p w14:paraId="2D837B52">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提交的成果包括以下内容：</w:t>
      </w:r>
    </w:p>
    <w:p w14:paraId="6796FE0B">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（1）《陕西省自然灾害综合风险公路数据库动态更新与灾毁损失报送核查报告》，出具纸质版与电子版数据核查报告；</w:t>
      </w:r>
    </w:p>
    <w:p w14:paraId="6572CDBD">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u w:val="none"/>
          <w:lang w:eastAsia="zh-CN"/>
        </w:rPr>
      </w:pPr>
      <w:r>
        <w:rPr>
          <w:rFonts w:hint="eastAsia" w:ascii="国标仿宋-GB/T 2312" w:hAnsi="国标仿宋-GB/T 2312" w:eastAsia="国标仿宋-GB/T 2312" w:cs="国标仿宋-GB/T 2312"/>
          <w:sz w:val="28"/>
          <w:szCs w:val="28"/>
        </w:rPr>
        <w:t>（2）按月编写自然灾害风险公路承灾体高风险点情况一览表、公路灾毁情况统计表并反馈上级部门。</w:t>
      </w:r>
    </w:p>
    <w:p w14:paraId="02ABC279">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二</w:t>
      </w:r>
      <w:r>
        <w:rPr>
          <w:rFonts w:hint="eastAsia" w:ascii="国标仿宋-GB/T 2312" w:hAnsi="国标仿宋-GB/T 2312" w:eastAsia="国标仿宋-GB/T 2312" w:cs="国标仿宋-GB/T 2312"/>
          <w:b/>
          <w:bCs/>
          <w:color w:val="auto"/>
          <w:sz w:val="28"/>
          <w:szCs w:val="28"/>
          <w:highlight w:val="none"/>
        </w:rPr>
        <w:t>、合同金额</w:t>
      </w:r>
    </w:p>
    <w:p w14:paraId="0AE1C22D">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合同总价款(含税价):</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rPr>
        <w:t>(</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rPr>
        <w:t>元)</w:t>
      </w:r>
      <w:r>
        <w:rPr>
          <w:rFonts w:hint="eastAsia" w:ascii="国标仿宋-GB/T 2312" w:hAnsi="国标仿宋-GB/T 2312" w:eastAsia="国标仿宋-GB/T 2312" w:cs="国标仿宋-GB/T 2312"/>
          <w:color w:val="auto"/>
          <w:sz w:val="28"/>
          <w:szCs w:val="28"/>
          <w:highlight w:val="none"/>
          <w:lang w:eastAsia="zh-CN"/>
        </w:rPr>
        <w:t>。</w:t>
      </w:r>
    </w:p>
    <w:p w14:paraId="79617801">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rPr>
        <w:t>合同价格为含税价，合同总价款包含完成本项目所需的全部费用(包括但不限于人工、管理、办公、交通、会务、外业勘察、物耗、利润、招标代理费、税费、风险、验收及有关的其它费用等)，甲方无需再向乙方支付其他任何费用。甲方无需再向乙方支付其他任何费用。</w:t>
      </w:r>
    </w:p>
    <w:p w14:paraId="7EF59A49">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三</w:t>
      </w:r>
      <w:r>
        <w:rPr>
          <w:rFonts w:hint="eastAsia" w:ascii="国标仿宋-GB/T 2312" w:hAnsi="国标仿宋-GB/T 2312" w:eastAsia="国标仿宋-GB/T 2312" w:cs="国标仿宋-GB/T 2312"/>
          <w:b/>
          <w:bCs/>
          <w:color w:val="auto"/>
          <w:sz w:val="28"/>
          <w:szCs w:val="28"/>
          <w:highlight w:val="none"/>
        </w:rPr>
        <w:t>、服务</w:t>
      </w:r>
      <w:r>
        <w:rPr>
          <w:rFonts w:hint="eastAsia" w:ascii="国标仿宋-GB/T 2312" w:hAnsi="国标仿宋-GB/T 2312" w:eastAsia="国标仿宋-GB/T 2312" w:cs="国标仿宋-GB/T 2312"/>
          <w:b/>
          <w:bCs/>
          <w:color w:val="auto"/>
          <w:sz w:val="28"/>
          <w:szCs w:val="28"/>
          <w:highlight w:val="none"/>
          <w:lang w:val="en-US" w:eastAsia="zh-CN"/>
        </w:rPr>
        <w:t>期限</w:t>
      </w:r>
    </w:p>
    <w:p w14:paraId="35CF0B7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color w:val="auto"/>
          <w:sz w:val="28"/>
          <w:szCs w:val="28"/>
          <w:highlight w:val="none"/>
          <w:lang w:val="en-US" w:eastAsia="zh-CN"/>
        </w:rPr>
        <w:t>合同起止日期</w:t>
      </w:r>
      <w:r>
        <w:rPr>
          <w:rFonts w:hint="eastAsia" w:ascii="国标仿宋-GB/T 2312" w:hAnsi="国标仿宋-GB/T 2312" w:eastAsia="国标仿宋-GB/T 2312" w:cs="国标仿宋-GB/T 2312"/>
          <w:color w:val="auto"/>
          <w:sz w:val="28"/>
          <w:szCs w:val="28"/>
          <w:highlight w:val="none"/>
          <w:u w:val="single"/>
          <w:lang w:val="en-US" w:eastAsia="zh-CN"/>
        </w:rPr>
        <w:t>（    年    月    日 ----    年    月    日）</w:t>
      </w:r>
      <w:r>
        <w:rPr>
          <w:rFonts w:hint="eastAsia" w:ascii="国标仿宋-GB/T 2312" w:hAnsi="国标仿宋-GB/T 2312" w:eastAsia="国标仿宋-GB/T 2312" w:cs="国标仿宋-GB/T 2312"/>
          <w:color w:val="auto"/>
          <w:sz w:val="28"/>
          <w:szCs w:val="28"/>
          <w:highlight w:val="none"/>
          <w:u w:val="single"/>
        </w:rPr>
        <w:t>。</w:t>
      </w:r>
    </w:p>
    <w:p w14:paraId="6299C22E">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四、结算方式</w:t>
      </w:r>
    </w:p>
    <w:p w14:paraId="04931851">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val="en-US" w:eastAsia="zh-CN"/>
        </w:rPr>
        <w:t>（一）</w:t>
      </w:r>
      <w:r>
        <w:rPr>
          <w:rFonts w:hint="eastAsia" w:ascii="国标仿宋-GB/T 2312" w:hAnsi="国标仿宋-GB/T 2312" w:eastAsia="国标仿宋-GB/T 2312" w:cs="国标仿宋-GB/T 2312"/>
          <w:color w:val="auto"/>
          <w:sz w:val="28"/>
          <w:szCs w:val="28"/>
          <w:highlight w:val="none"/>
        </w:rPr>
        <w:t>结算单位:</w:t>
      </w:r>
    </w:p>
    <w:p w14:paraId="265B61A8">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eastAsia="zh-CN"/>
        </w:rPr>
      </w:pPr>
      <w:r>
        <w:rPr>
          <w:rFonts w:hint="eastAsia" w:ascii="国标仿宋-GB/T 2312" w:hAnsi="国标仿宋-GB/T 2312" w:eastAsia="国标仿宋-GB/T 2312" w:cs="国标仿宋-GB/T 2312"/>
          <w:color w:val="auto"/>
          <w:sz w:val="28"/>
          <w:szCs w:val="28"/>
          <w:highlight w:val="none"/>
          <w:lang w:eastAsia="zh-CN"/>
        </w:rPr>
        <w:t>银行转账，由甲方负责结算。在付款前，乙方应开具与付款金额一致的增值税普通发票给甲方。</w:t>
      </w:r>
    </w:p>
    <w:p w14:paraId="133CA3EE">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rPr>
      </w:pP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lang w:val="en-US" w:eastAsia="zh-CN"/>
        </w:rPr>
        <w:t>二</w:t>
      </w:r>
      <w:r>
        <w:rPr>
          <w:rFonts w:hint="eastAsia" w:ascii="国标仿宋-GB/T 2312" w:hAnsi="国标仿宋-GB/T 2312" w:eastAsia="国标仿宋-GB/T 2312" w:cs="国标仿宋-GB/T 2312"/>
          <w:color w:val="auto"/>
          <w:sz w:val="28"/>
          <w:szCs w:val="28"/>
          <w:highlight w:val="none"/>
          <w:lang w:eastAsia="zh-CN"/>
        </w:rPr>
        <w:t>）</w:t>
      </w:r>
      <w:r>
        <w:rPr>
          <w:rFonts w:hint="eastAsia" w:ascii="国标仿宋-GB/T 2312" w:hAnsi="国标仿宋-GB/T 2312" w:eastAsia="国标仿宋-GB/T 2312" w:cs="国标仿宋-GB/T 2312"/>
          <w:color w:val="auto"/>
          <w:sz w:val="28"/>
          <w:szCs w:val="28"/>
          <w:highlight w:val="none"/>
        </w:rPr>
        <w:t>付款方式:</w:t>
      </w:r>
    </w:p>
    <w:p w14:paraId="49F5F07F">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1.合同签订前，乙方须向甲方缴纳</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5%的履约保证金，履约保证金待乙方履行完毕全部合同义务，</w:t>
      </w:r>
      <w:r>
        <w:rPr>
          <w:rFonts w:hint="eastAsia" w:ascii="国标仿宋-GB/T 2312" w:hAnsi="国标仿宋-GB/T 2312" w:eastAsia="国标仿宋-GB/T 2312" w:cs="国标仿宋-GB/T 2312"/>
          <w:sz w:val="28"/>
          <w:szCs w:val="28"/>
          <w:highlight w:val="none"/>
        </w:rPr>
        <w:t>并经甲方验收合格，</w:t>
      </w:r>
      <w:r>
        <w:rPr>
          <w:rFonts w:hint="eastAsia" w:ascii="国标仿宋-GB/T 2312" w:hAnsi="国标仿宋-GB/T 2312" w:eastAsia="国标仿宋-GB/T 2312" w:cs="国标仿宋-GB/T 2312"/>
          <w:sz w:val="28"/>
          <w:szCs w:val="28"/>
        </w:rPr>
        <w:t>无任何纠纷后无息退还。</w:t>
      </w:r>
    </w:p>
    <w:p w14:paraId="0E8BA182">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2.合同签订，甲方收到乙方缴纳的履约保证金及开具的增值税普通发票后</w:t>
      </w:r>
      <w:r>
        <w:rPr>
          <w:rFonts w:hint="eastAsia" w:ascii="国标仿宋-GB/T 2312" w:hAnsi="国标仿宋-GB/T 2312" w:eastAsia="国标仿宋-GB/T 2312" w:cs="国标仿宋-GB/T 2312"/>
          <w:sz w:val="28"/>
          <w:szCs w:val="28"/>
          <w:u w:val="single"/>
          <w:lang w:val="en-US" w:eastAsia="zh-CN"/>
        </w:rPr>
        <w:t>15</w:t>
      </w:r>
      <w:r>
        <w:rPr>
          <w:rFonts w:hint="eastAsia" w:ascii="国标仿宋-GB/T 2312" w:hAnsi="国标仿宋-GB/T 2312" w:eastAsia="国标仿宋-GB/T 2312" w:cs="国标仿宋-GB/T 2312"/>
          <w:sz w:val="28"/>
          <w:szCs w:val="28"/>
        </w:rPr>
        <w:t>日内，支付</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的</w:t>
      </w:r>
      <w:r>
        <w:rPr>
          <w:rFonts w:hint="eastAsia" w:ascii="国标仿宋-GB/T 2312" w:hAnsi="国标仿宋-GB/T 2312" w:eastAsia="国标仿宋-GB/T 2312" w:cs="国标仿宋-GB/T 2312"/>
          <w:sz w:val="28"/>
          <w:szCs w:val="28"/>
          <w:u w:val="single"/>
        </w:rPr>
        <w:t>60</w:t>
      </w:r>
      <w:r>
        <w:rPr>
          <w:rFonts w:hint="eastAsia" w:ascii="国标仿宋-GB/T 2312" w:hAnsi="国标仿宋-GB/T 2312" w:eastAsia="国标仿宋-GB/T 2312" w:cs="国标仿宋-GB/T 2312"/>
          <w:sz w:val="28"/>
          <w:szCs w:val="28"/>
        </w:rPr>
        <w:t>%。乙方完成合同约定全部内容，提交项目全部成果报告并经甲方确认满足要求后，甲方支付剩余合同金额。</w:t>
      </w:r>
      <w:r>
        <w:rPr>
          <w:rFonts w:hint="eastAsia" w:ascii="国标仿宋-GB/T 2312" w:hAnsi="国标仿宋-GB/T 2312" w:eastAsia="国标仿宋-GB/T 2312" w:cs="国标仿宋-GB/T 2312"/>
          <w:b w:val="0"/>
          <w:bCs w:val="0"/>
          <w:kern w:val="2"/>
          <w:sz w:val="28"/>
          <w:szCs w:val="28"/>
          <w:lang w:val="en-US" w:eastAsia="zh-CN"/>
        </w:rPr>
        <w:t>如完成约定工作量大于95%的，按照上述支付条件进行。完成约定工作量在95%和85%之间的，支付合同总金额的95%；完成约定工作量小于85%的，按照合同总金额乘以完成约定工作量比例进行支付。</w:t>
      </w:r>
    </w:p>
    <w:p w14:paraId="77D82296">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3.甲方每次付款前，乙方均应开具与付款金额一致的增值税普通发票，否则甲方有权拒绝付款，且不应承担迟延付款的责任。</w:t>
      </w:r>
    </w:p>
    <w:p w14:paraId="6E89E401">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4.乙方超出任务书范围的</w:t>
      </w:r>
      <w:r>
        <w:rPr>
          <w:rFonts w:hint="eastAsia" w:ascii="国标仿宋-GB/T 2312" w:hAnsi="国标仿宋-GB/T 2312" w:eastAsia="国标仿宋-GB/T 2312" w:cs="国标仿宋-GB/T 2312"/>
          <w:sz w:val="28"/>
          <w:szCs w:val="28"/>
          <w:lang w:val="en-US" w:eastAsia="zh-CN"/>
        </w:rPr>
        <w:t>工作</w:t>
      </w:r>
      <w:r>
        <w:rPr>
          <w:rFonts w:hint="eastAsia" w:ascii="国标仿宋-GB/T 2312" w:hAnsi="国标仿宋-GB/T 2312" w:eastAsia="国标仿宋-GB/T 2312" w:cs="国标仿宋-GB/T 2312"/>
          <w:sz w:val="28"/>
          <w:szCs w:val="28"/>
        </w:rPr>
        <w:t>量以及未通过甲方审查的</w:t>
      </w:r>
      <w:r>
        <w:rPr>
          <w:rFonts w:hint="eastAsia" w:ascii="国标仿宋-GB/T 2312" w:hAnsi="国标仿宋-GB/T 2312" w:eastAsia="国标仿宋-GB/T 2312" w:cs="国标仿宋-GB/T 2312"/>
          <w:sz w:val="28"/>
          <w:szCs w:val="28"/>
          <w:lang w:val="en-US" w:eastAsia="zh-CN"/>
        </w:rPr>
        <w:t>工作</w:t>
      </w:r>
      <w:r>
        <w:rPr>
          <w:rFonts w:hint="eastAsia" w:ascii="国标仿宋-GB/T 2312" w:hAnsi="国标仿宋-GB/T 2312" w:eastAsia="国标仿宋-GB/T 2312" w:cs="国标仿宋-GB/T 2312"/>
          <w:sz w:val="28"/>
          <w:szCs w:val="28"/>
        </w:rPr>
        <w:t>量，甲方有权不予结算和支付相应款项。</w:t>
      </w:r>
    </w:p>
    <w:p w14:paraId="6B2B3BED">
      <w:pPr>
        <w:keepNext w:val="0"/>
        <w:keepLines w:val="0"/>
        <w:pageBreakBefore w:val="0"/>
        <w:wordWrap/>
        <w:overflowPunct/>
        <w:topLinePunct w:val="0"/>
        <w:autoSpaceDE/>
        <w:autoSpaceDN/>
        <w:bidi w:val="0"/>
        <w:adjustRightInd/>
        <w:snapToGri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5.甲方有权在项目实施过程中，要求乙方对不满足质量要求的工作进行返工，工期不予顺延。</w:t>
      </w:r>
    </w:p>
    <w:p w14:paraId="5D41328E">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五</w:t>
      </w:r>
      <w:r>
        <w:rPr>
          <w:rFonts w:hint="eastAsia" w:ascii="国标仿宋-GB/T 2312" w:hAnsi="国标仿宋-GB/T 2312" w:eastAsia="国标仿宋-GB/T 2312" w:cs="国标仿宋-GB/T 2312"/>
          <w:b/>
          <w:bCs/>
          <w:color w:val="auto"/>
          <w:sz w:val="28"/>
          <w:szCs w:val="28"/>
          <w:highlight w:val="none"/>
        </w:rPr>
        <w:t>、主要工作内容</w:t>
      </w:r>
    </w:p>
    <w:p w14:paraId="5052011E">
      <w:pPr>
        <w:pStyle w:val="7"/>
        <w:keepNext w:val="0"/>
        <w:keepLines w:val="0"/>
        <w:pageBreakBefore w:val="0"/>
        <w:wordWrap/>
        <w:overflowPunct/>
        <w:topLinePunct w:val="0"/>
        <w:autoSpaceDE/>
        <w:autoSpaceDN/>
        <w:bidi w:val="0"/>
        <w:adjustRightInd/>
        <w:spacing w:line="560" w:lineRule="exact"/>
        <w:ind w:firstLine="480"/>
        <w:textAlignment w:val="auto"/>
        <w:rPr>
          <w:rFonts w:hint="eastAsia" w:ascii="国标仿宋-GB/T 2312" w:hAnsi="国标仿宋-GB/T 2312" w:eastAsia="国标仿宋-GB/T 2312" w:cs="国标仿宋-GB/T 2312"/>
          <w:b w:val="0"/>
          <w:bCs w:val="0"/>
          <w:color w:val="auto"/>
          <w:sz w:val="28"/>
          <w:szCs w:val="28"/>
          <w:highlight w:val="none"/>
        </w:rPr>
      </w:pPr>
      <w:r>
        <w:rPr>
          <w:rFonts w:hint="eastAsia" w:ascii="国标仿宋-GB/T 2312" w:hAnsi="国标仿宋-GB/T 2312" w:eastAsia="国标仿宋-GB/T 2312" w:cs="国标仿宋-GB/T 2312"/>
          <w:b w:val="0"/>
          <w:bCs w:val="0"/>
          <w:color w:val="auto"/>
          <w:sz w:val="28"/>
          <w:szCs w:val="28"/>
          <w:highlight w:val="none"/>
        </w:rPr>
        <w:t>（一）</w:t>
      </w:r>
      <w:r>
        <w:rPr>
          <w:rFonts w:hint="eastAsia" w:ascii="国标仿宋-GB/T 2312" w:hAnsi="国标仿宋-GB/T 2312" w:eastAsia="国标仿宋-GB/T 2312" w:cs="国标仿宋-GB/T 2312"/>
          <w:b w:val="0"/>
          <w:bCs w:val="0"/>
          <w:color w:val="auto"/>
          <w:sz w:val="28"/>
          <w:szCs w:val="28"/>
          <w:highlight w:val="none"/>
          <w:lang w:val="en-US" w:eastAsia="zh-CN"/>
        </w:rPr>
        <w:t>2026</w:t>
      </w:r>
      <w:r>
        <w:rPr>
          <w:rFonts w:hint="eastAsia" w:ascii="国标仿宋-GB/T 2312" w:hAnsi="国标仿宋-GB/T 2312" w:eastAsia="国标仿宋-GB/T 2312" w:cs="国标仿宋-GB/T 2312"/>
          <w:b w:val="0"/>
          <w:bCs w:val="0"/>
          <w:color w:val="auto"/>
          <w:sz w:val="28"/>
          <w:szCs w:val="28"/>
          <w:highlight w:val="none"/>
        </w:rPr>
        <w:t>年度普查风险点动态更新和公路灾毁数据省级质量检查、高风险点核查。</w:t>
      </w:r>
    </w:p>
    <w:p w14:paraId="74D64EA2">
      <w:pPr>
        <w:pStyle w:val="7"/>
        <w:keepNext w:val="0"/>
        <w:keepLines w:val="0"/>
        <w:pageBreakBefore w:val="0"/>
        <w:wordWrap/>
        <w:overflowPunct/>
        <w:topLinePunct w:val="0"/>
        <w:autoSpaceDE/>
        <w:autoSpaceDN/>
        <w:bidi w:val="0"/>
        <w:adjustRightInd/>
        <w:spacing w:line="560" w:lineRule="exact"/>
        <w:ind w:firstLine="480"/>
        <w:textAlignment w:val="auto"/>
        <w:rPr>
          <w:rFonts w:hint="eastAsia" w:ascii="国标仿宋-GB/T 2312" w:hAnsi="国标仿宋-GB/T 2312" w:eastAsia="国标仿宋-GB/T 2312" w:cs="国标仿宋-GB/T 2312"/>
          <w:b w:val="0"/>
          <w:bCs w:val="0"/>
          <w:color w:val="auto"/>
          <w:sz w:val="28"/>
          <w:szCs w:val="28"/>
          <w:highlight w:val="none"/>
        </w:rPr>
      </w:pPr>
      <w:r>
        <w:rPr>
          <w:rFonts w:hint="eastAsia" w:ascii="国标仿宋-GB/T 2312" w:hAnsi="国标仿宋-GB/T 2312" w:eastAsia="国标仿宋-GB/T 2312" w:cs="国标仿宋-GB/T 2312"/>
          <w:b w:val="0"/>
          <w:bCs w:val="0"/>
          <w:color w:val="auto"/>
          <w:sz w:val="28"/>
          <w:szCs w:val="28"/>
          <w:highlight w:val="none"/>
        </w:rPr>
        <w:t>（二）每月提交自然灾害风险公路承灾体高风险点情况一览表、公路灾毁情况统计表。</w:t>
      </w:r>
    </w:p>
    <w:p w14:paraId="373033BD">
      <w:pPr>
        <w:pStyle w:val="7"/>
        <w:keepNext w:val="0"/>
        <w:keepLines w:val="0"/>
        <w:pageBreakBefore w:val="0"/>
        <w:wordWrap/>
        <w:overflowPunct/>
        <w:topLinePunct w:val="0"/>
        <w:autoSpaceDE/>
        <w:autoSpaceDN/>
        <w:bidi w:val="0"/>
        <w:adjustRightInd/>
        <w:spacing w:line="560" w:lineRule="exact"/>
        <w:ind w:firstLine="48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val="0"/>
          <w:bCs w:val="0"/>
          <w:color w:val="auto"/>
          <w:sz w:val="28"/>
          <w:szCs w:val="28"/>
          <w:highlight w:val="none"/>
        </w:rPr>
        <w:t>（三）提交年度高风险点核查报告。</w:t>
      </w:r>
    </w:p>
    <w:p w14:paraId="1527514D">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lang w:val="en-US" w:eastAsia="zh-CN"/>
        </w:rPr>
        <w:t>六</w:t>
      </w:r>
      <w:r>
        <w:rPr>
          <w:rFonts w:hint="eastAsia" w:ascii="国标仿宋-GB/T 2312" w:hAnsi="国标仿宋-GB/T 2312" w:eastAsia="国标仿宋-GB/T 2312" w:cs="国标仿宋-GB/T 2312"/>
          <w:b/>
          <w:bCs/>
          <w:color w:val="auto"/>
          <w:sz w:val="28"/>
          <w:szCs w:val="28"/>
          <w:highlight w:val="none"/>
        </w:rPr>
        <w:t>、</w:t>
      </w:r>
      <w:r>
        <w:rPr>
          <w:rFonts w:hint="eastAsia" w:ascii="国标仿宋-GB/T 2312" w:hAnsi="国标仿宋-GB/T 2312" w:eastAsia="国标仿宋-GB/T 2312" w:cs="国标仿宋-GB/T 2312"/>
          <w:b/>
          <w:bCs/>
          <w:color w:val="auto"/>
          <w:sz w:val="28"/>
          <w:szCs w:val="28"/>
          <w:highlight w:val="none"/>
          <w:lang w:val="en-US" w:eastAsia="zh-CN"/>
        </w:rPr>
        <w:t>其他</w:t>
      </w:r>
      <w:r>
        <w:rPr>
          <w:rFonts w:hint="eastAsia" w:ascii="国标仿宋-GB/T 2312" w:hAnsi="国标仿宋-GB/T 2312" w:eastAsia="国标仿宋-GB/T 2312" w:cs="国标仿宋-GB/T 2312"/>
          <w:b/>
          <w:bCs/>
          <w:color w:val="auto"/>
          <w:sz w:val="28"/>
          <w:szCs w:val="28"/>
          <w:highlight w:val="none"/>
        </w:rPr>
        <w:t>要求</w:t>
      </w:r>
    </w:p>
    <w:p w14:paraId="25842D6D">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bookmarkStart w:id="0" w:name="_Hlk202857010"/>
      <w:bookmarkStart w:id="1" w:name="_Hlk202857239"/>
      <w:r>
        <w:rPr>
          <w:rFonts w:hint="eastAsia" w:ascii="国标仿宋-GB/T 2312" w:hAnsi="国标仿宋-GB/T 2312" w:eastAsia="国标仿宋-GB/T 2312" w:cs="国标仿宋-GB/T 2312"/>
          <w:sz w:val="28"/>
          <w:szCs w:val="28"/>
        </w:rPr>
        <w:t>满足交通运输部印发的</w:t>
      </w:r>
      <w:r>
        <w:rPr>
          <w:rFonts w:hint="eastAsia" w:ascii="国标仿宋-GB/T 2312" w:hAnsi="国标仿宋-GB/T 2312" w:eastAsia="国标仿宋-GB/T 2312" w:cs="国标仿宋-GB/T 2312"/>
          <w:sz w:val="28"/>
          <w:szCs w:val="28"/>
          <w:lang w:val="en-US" w:eastAsia="zh-CN"/>
        </w:rPr>
        <w:t>《自然灾害综合风险公路承灾体普查技术指南》</w:t>
      </w:r>
      <w:r>
        <w:rPr>
          <w:rFonts w:hint="eastAsia" w:ascii="国标仿宋-GB/T 2312" w:hAnsi="国标仿宋-GB/T 2312" w:eastAsia="国标仿宋-GB/T 2312" w:cs="国标仿宋-GB/T 2312"/>
          <w:sz w:val="28"/>
          <w:szCs w:val="28"/>
        </w:rPr>
        <w:t>以及招标文件相关技术要求、竞争性磋商文件、磋商响应文件、澄清表（函），提交的核查报告需通过</w:t>
      </w:r>
      <w:r>
        <w:rPr>
          <w:rFonts w:hint="eastAsia" w:ascii="国标仿宋-GB/T 2312" w:hAnsi="国标仿宋-GB/T 2312" w:eastAsia="国标仿宋-GB/T 2312" w:cs="国标仿宋-GB/T 2312"/>
          <w:sz w:val="28"/>
          <w:szCs w:val="28"/>
          <w:lang w:val="en-US" w:eastAsia="zh-CN"/>
        </w:rPr>
        <w:t>甲方</w:t>
      </w:r>
      <w:r>
        <w:rPr>
          <w:rFonts w:hint="eastAsia" w:ascii="国标仿宋-GB/T 2312" w:hAnsi="国标仿宋-GB/T 2312" w:eastAsia="国标仿宋-GB/T 2312" w:cs="国标仿宋-GB/T 2312"/>
          <w:sz w:val="28"/>
          <w:szCs w:val="28"/>
        </w:rPr>
        <w:t>的技术审查。</w:t>
      </w:r>
      <w:bookmarkEnd w:id="0"/>
    </w:p>
    <w:bookmarkEnd w:id="1"/>
    <w:p w14:paraId="414565EB">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七</w:t>
      </w:r>
      <w:r>
        <w:rPr>
          <w:rFonts w:hint="eastAsia" w:ascii="国标仿宋-GB/T 2312" w:hAnsi="国标仿宋-GB/T 2312" w:eastAsia="国标仿宋-GB/T 2312" w:cs="国标仿宋-GB/T 2312"/>
          <w:b/>
          <w:bCs/>
          <w:color w:val="auto"/>
          <w:sz w:val="28"/>
          <w:szCs w:val="28"/>
          <w:highlight w:val="none"/>
        </w:rPr>
        <w:t>、售后服务</w:t>
      </w:r>
    </w:p>
    <w:p w14:paraId="6F8218C4">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技术支持和售后服务由乙方严格按响应文件及有关承诺执行，服务响应时间为工作日08:30-18:00，紧急问题需在4小时内响应，如有需要48小时内到达甲方指定办公地点现场解决问题。</w:t>
      </w:r>
    </w:p>
    <w:p w14:paraId="06E26022">
      <w:pPr>
        <w:keepNext w:val="0"/>
        <w:keepLines w:val="0"/>
        <w:pageBreakBefore w:val="0"/>
        <w:wordWrap/>
        <w:overflowPunct/>
        <w:topLinePunct w:val="0"/>
        <w:autoSpaceDE/>
        <w:autoSpaceDN/>
        <w:bidi w:val="0"/>
        <w:adjustRightInd/>
        <w:spacing w:line="560" w:lineRule="exact"/>
        <w:ind w:firstLine="560" w:firstLineChars="200"/>
        <w:textAlignment w:val="auto"/>
        <w:rPr>
          <w:rFonts w:hint="default" w:ascii="国标仿宋-GB/T 2312" w:hAnsi="国标仿宋-GB/T 2312" w:eastAsia="国标仿宋-GB/T 2312" w:cs="国标仿宋-GB/T 2312"/>
          <w:sz w:val="28"/>
          <w:szCs w:val="28"/>
          <w:lang w:val="en-US" w:eastAsia="zh-CN"/>
        </w:rPr>
      </w:pPr>
      <w:r>
        <w:rPr>
          <w:rFonts w:hint="eastAsia" w:ascii="国标仿宋-GB/T 2312" w:hAnsi="国标仿宋-GB/T 2312" w:eastAsia="国标仿宋-GB/T 2312" w:cs="国标仿宋-GB/T 2312"/>
          <w:sz w:val="28"/>
          <w:szCs w:val="28"/>
        </w:rPr>
        <w:t>售后服务联系方式:</w:t>
      </w:r>
      <w:r>
        <w:rPr>
          <w:rFonts w:hint="eastAsia" w:ascii="国标仿宋-GB/T 2312" w:hAnsi="国标仿宋-GB/T 2312" w:eastAsia="国标仿宋-GB/T 2312" w:cs="国标仿宋-GB/T 2312"/>
          <w:sz w:val="28"/>
          <w:szCs w:val="28"/>
          <w:u w:val="single"/>
          <w:lang w:val="en-US" w:eastAsia="zh-CN"/>
        </w:rPr>
        <w:t xml:space="preserve">                 </w:t>
      </w:r>
    </w:p>
    <w:p w14:paraId="3936BBB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如因乙方自身原因或不能履行售后服务义务,经甲方书面催告后仍不履行的，甲方有权委托第三方处理，由此产生的费用和风险由乙方承担。</w:t>
      </w:r>
    </w:p>
    <w:p w14:paraId="47F9CFEC">
      <w:pPr>
        <w:keepNext w:val="0"/>
        <w:keepLines w:val="0"/>
        <w:pageBreakBefore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eastAsia="zh-CN"/>
        </w:rPr>
      </w:pPr>
      <w:r>
        <w:rPr>
          <w:rFonts w:hint="eastAsia" w:ascii="国标仿宋-GB/T 2312" w:hAnsi="国标仿宋-GB/T 2312" w:eastAsia="国标仿宋-GB/T 2312" w:cs="国标仿宋-GB/T 2312"/>
          <w:b/>
          <w:bCs/>
          <w:color w:val="auto"/>
          <w:sz w:val="28"/>
          <w:szCs w:val="28"/>
          <w:highlight w:val="none"/>
          <w:lang w:val="en-US" w:eastAsia="zh-CN"/>
        </w:rPr>
        <w:t>八</w:t>
      </w:r>
      <w:r>
        <w:rPr>
          <w:rFonts w:hint="eastAsia" w:ascii="国标仿宋-GB/T 2312" w:hAnsi="国标仿宋-GB/T 2312" w:eastAsia="国标仿宋-GB/T 2312" w:cs="国标仿宋-GB/T 2312"/>
          <w:b/>
          <w:bCs/>
          <w:color w:val="auto"/>
          <w:sz w:val="28"/>
          <w:szCs w:val="28"/>
          <w:highlight w:val="none"/>
        </w:rPr>
        <w:t>、</w:t>
      </w:r>
      <w:r>
        <w:rPr>
          <w:rFonts w:hint="eastAsia" w:ascii="国标仿宋-GB/T 2312" w:hAnsi="国标仿宋-GB/T 2312" w:eastAsia="国标仿宋-GB/T 2312" w:cs="国标仿宋-GB/T 2312"/>
          <w:b/>
          <w:bCs/>
          <w:color w:val="auto"/>
          <w:sz w:val="28"/>
          <w:szCs w:val="28"/>
          <w:highlight w:val="none"/>
          <w:lang w:eastAsia="zh-CN"/>
        </w:rPr>
        <w:t>验收</w:t>
      </w:r>
    </w:p>
    <w:p w14:paraId="0E2640C8">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601DB8B5">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（二）甲方收到乙方的验收申请后，组织乙方（必要时请有关专家）进行项目验收。乙方提交合同履约情况总结报告，并经甲方确认。验收合格后，填写项目验收单作为对项目的最终认可。</w:t>
      </w:r>
    </w:p>
    <w:p w14:paraId="48D74470">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（三）验收依据：1.本合同及附件文本；2.竞争性磋商文件、磋商响应文件、澄清表（函）；3.国家相应的标准、规范。</w:t>
      </w:r>
    </w:p>
    <w:p w14:paraId="64F1A836">
      <w:pPr>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lang w:val="en-US" w:eastAsia="zh-CN"/>
        </w:rPr>
        <w:t>若</w:t>
      </w:r>
      <w:r>
        <w:rPr>
          <w:rFonts w:hint="eastAsia" w:ascii="国标仿宋-GB/T 2312" w:hAnsi="国标仿宋-GB/T 2312" w:eastAsia="国标仿宋-GB/T 2312" w:cs="国标仿宋-GB/T 2312"/>
          <w:sz w:val="28"/>
          <w:szCs w:val="28"/>
        </w:rPr>
        <w:t>技术审查、验收不合格</w:t>
      </w:r>
      <w:r>
        <w:rPr>
          <w:rFonts w:hint="eastAsia" w:ascii="国标仿宋-GB/T 2312" w:hAnsi="国标仿宋-GB/T 2312" w:eastAsia="国标仿宋-GB/T 2312" w:cs="国标仿宋-GB/T 2312"/>
          <w:sz w:val="28"/>
          <w:szCs w:val="28"/>
          <w:lang w:eastAsia="zh-CN"/>
        </w:rPr>
        <w:t>，</w:t>
      </w:r>
      <w:r>
        <w:rPr>
          <w:rFonts w:hint="eastAsia" w:ascii="国标仿宋-GB/T 2312" w:hAnsi="国标仿宋-GB/T 2312" w:eastAsia="国标仿宋-GB/T 2312" w:cs="国标仿宋-GB/T 2312"/>
          <w:sz w:val="28"/>
          <w:szCs w:val="28"/>
          <w:lang w:val="en-US" w:eastAsia="zh-CN"/>
        </w:rPr>
        <w:t>乙方应</w:t>
      </w:r>
      <w:r>
        <w:rPr>
          <w:rFonts w:hint="eastAsia" w:ascii="国标仿宋-GB/T 2312" w:hAnsi="国标仿宋-GB/T 2312" w:eastAsia="国标仿宋-GB/T 2312" w:cs="国标仿宋-GB/T 2312"/>
          <w:sz w:val="28"/>
          <w:szCs w:val="28"/>
        </w:rPr>
        <w:t>限期整改，整改过程中产生的一切费用和损失由乙方承担。整改超过二次的，甲方有权单方解除本合同，乙方应无条件退还已收取的全部合同价款，给甲方造成损失的应予以赔偿，且乙方应按</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rPr>
        <w:t>的10%向甲方支付违约金。</w:t>
      </w:r>
    </w:p>
    <w:p w14:paraId="3FB13197">
      <w:pPr>
        <w:keepNext w:val="0"/>
        <w:keepLines w:val="0"/>
        <w:pageBreakBefore w:val="0"/>
        <w:tabs>
          <w:tab w:val="left" w:pos="980"/>
        </w:tabs>
        <w:kinsoku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九、保密</w:t>
      </w:r>
    </w:p>
    <w:p w14:paraId="0F8D819F">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b w:val="0"/>
          <w:bCs w:val="0"/>
          <w:color w:val="auto"/>
          <w:sz w:val="28"/>
          <w:szCs w:val="28"/>
          <w:highlight w:val="none"/>
          <w:lang w:val="en-US" w:eastAsia="zh-CN"/>
        </w:rPr>
      </w:pPr>
      <w:r>
        <w:rPr>
          <w:rFonts w:hint="eastAsia" w:ascii="国标仿宋-GB/T 2312" w:hAnsi="国标仿宋-GB/T 2312" w:eastAsia="国标仿宋-GB/T 2312" w:cs="国标仿宋-GB/T 2312"/>
          <w:b w:val="0"/>
          <w:bCs w:val="0"/>
          <w:color w:val="auto"/>
          <w:sz w:val="28"/>
          <w:szCs w:val="28"/>
          <w:highlight w:val="none"/>
          <w:lang w:val="en-US" w:eastAsia="zh-CN"/>
        </w:rPr>
        <w:t>（一）乙方对工作中知悉的甲方的技术、数据、机密等进行严格保密，不得向他人泄漏。本合同的解除或终止不免除乙方应承担的保密义务。</w:t>
      </w:r>
    </w:p>
    <w:p w14:paraId="252C01B6">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b w:val="0"/>
          <w:bCs w:val="0"/>
          <w:color w:val="auto"/>
          <w:sz w:val="28"/>
          <w:szCs w:val="28"/>
          <w:highlight w:val="none"/>
          <w:lang w:val="en-US" w:eastAsia="zh-CN"/>
        </w:rPr>
      </w:pPr>
      <w:r>
        <w:rPr>
          <w:rFonts w:hint="eastAsia" w:ascii="国标仿宋-GB/T 2312" w:hAnsi="国标仿宋-GB/T 2312" w:eastAsia="国标仿宋-GB/T 2312" w:cs="国标仿宋-GB/T 2312"/>
          <w:b w:val="0"/>
          <w:bCs w:val="0"/>
          <w:color w:val="auto"/>
          <w:sz w:val="28"/>
          <w:szCs w:val="28"/>
          <w:highlight w:val="none"/>
          <w:lang w:val="en-US" w:eastAsia="zh-CN"/>
        </w:rPr>
        <w:t>（二）乙方违反保密规定的，除承担法律责任外，还应向甲方支付合同总金额5%的违约金，给甲方造成损失的，乙方还应予以赔偿。</w:t>
      </w:r>
    </w:p>
    <w:p w14:paraId="376FC91D">
      <w:pPr>
        <w:keepNext w:val="0"/>
        <w:keepLines w:val="0"/>
        <w:pageBreakBefore w:val="0"/>
        <w:tabs>
          <w:tab w:val="left" w:pos="980"/>
        </w:tabs>
        <w:kinsoku w:val="0"/>
        <w:wordWrap/>
        <w:overflowPunct/>
        <w:topLinePunct w:val="0"/>
        <w:autoSpaceDE/>
        <w:autoSpaceDN/>
        <w:bidi w:val="0"/>
        <w:adjustRightInd/>
        <w:spacing w:line="560" w:lineRule="exact"/>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 xml:space="preserve">    十、知识产权</w:t>
      </w:r>
    </w:p>
    <w:p w14:paraId="1D9E6A7D">
      <w:pPr>
        <w:pStyle w:val="3"/>
        <w:keepNext w:val="0"/>
        <w:keepLines w:val="0"/>
        <w:pageBreakBefore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乙方应对所供服务具有或已取得合法知识产权，乙方应保证所供服务不会出现因第三方提出侵犯其专利权、商标权或</w:t>
      </w:r>
      <w:r>
        <w:rPr>
          <w:rFonts w:hint="eastAsia" w:ascii="国标仿宋-GB/T 2312" w:hAnsi="国标仿宋-GB/T 2312" w:eastAsia="国标仿宋-GB/T 2312" w:cs="国标仿宋-GB/T 2312"/>
          <w:sz w:val="28"/>
          <w:szCs w:val="28"/>
          <w:lang w:eastAsia="zh-CN"/>
        </w:rPr>
        <w:t>其他</w:t>
      </w:r>
      <w:r>
        <w:rPr>
          <w:rFonts w:hint="eastAsia" w:ascii="国标仿宋-GB/T 2312" w:hAnsi="国标仿宋-GB/T 2312" w:eastAsia="国标仿宋-GB/T 2312" w:cs="国标仿宋-GB/T 2312"/>
          <w:sz w:val="28"/>
          <w:szCs w:val="28"/>
        </w:rPr>
        <w:t>知识产权而引发法律或经济纠纷，否则由乙方负责解决并承担全部责任；如因此影响到甲方的正常使用，甲方有权单方解除本合同，乙方应无条件向采购人退回已收取的全部合同价款，并向甲方承担</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u w:val="single"/>
        </w:rPr>
        <w:t>10</w:t>
      </w:r>
      <w:r>
        <w:rPr>
          <w:rFonts w:hint="eastAsia" w:ascii="国标仿宋-GB/T 2312" w:hAnsi="国标仿宋-GB/T 2312" w:eastAsia="国标仿宋-GB/T 2312" w:cs="国标仿宋-GB/T 2312"/>
          <w:sz w:val="28"/>
          <w:szCs w:val="28"/>
        </w:rPr>
        <w:t>%的违约金，给甲方造成损失的，乙方应予以赔偿</w:t>
      </w:r>
    </w:p>
    <w:p w14:paraId="5FA4C293">
      <w:pPr>
        <w:pStyle w:val="3"/>
        <w:keepNext w:val="0"/>
        <w:keepLines w:val="0"/>
        <w:pageBreakBefore w:val="0"/>
        <w:wordWrap/>
        <w:overflowPunct/>
        <w:topLinePunct w:val="0"/>
        <w:autoSpaceDE/>
        <w:autoSpaceDN/>
        <w:bidi w:val="0"/>
        <w:adjustRightInd/>
        <w:spacing w:line="560" w:lineRule="exact"/>
        <w:textAlignment w:val="auto"/>
        <w:rPr>
          <w:rFonts w:hint="eastAsia" w:ascii="国标仿宋-GB/T 2312" w:hAnsi="国标仿宋-GB/T 2312" w:eastAsia="国标仿宋-GB/T 2312" w:cs="国标仿宋-GB/T 2312"/>
          <w:lang w:eastAsia="zh-CN"/>
        </w:rPr>
      </w:pPr>
      <w:r>
        <w:rPr>
          <w:rFonts w:hint="eastAsia" w:ascii="国标仿宋-GB/T 2312" w:hAnsi="国标仿宋-GB/T 2312" w:eastAsia="国标仿宋-GB/T 2312" w:cs="国标仿宋-GB/T 2312"/>
          <w:b/>
          <w:bCs/>
          <w:color w:val="auto"/>
          <w:sz w:val="28"/>
          <w:szCs w:val="28"/>
          <w:highlight w:val="none"/>
          <w:lang w:val="en-US" w:eastAsia="zh-CN"/>
        </w:rPr>
        <w:t xml:space="preserve">     十一、违约责任</w:t>
      </w:r>
    </w:p>
    <w:p w14:paraId="703DBFAE">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（一）甲乙双方必须遵守本合同并执行合同中的各项规定，保证本合同的正常履行。</w:t>
      </w:r>
    </w:p>
    <w:p w14:paraId="1CB1E47F">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3796C88">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6D654E53">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bookmarkStart w:id="2" w:name="_Hlk202861235"/>
      <w:r>
        <w:rPr>
          <w:rFonts w:hint="eastAsia" w:ascii="国标仿宋-GB/T 2312" w:hAnsi="国标仿宋-GB/T 2312" w:eastAsia="国标仿宋-GB/T 2312" w:cs="国标仿宋-GB/T 2312"/>
          <w:sz w:val="28"/>
          <w:szCs w:val="28"/>
        </w:rPr>
        <w:t>（四）乙方逾期完成服务的，每逾期一日，向甲方承担合同总价款</w:t>
      </w:r>
      <w:r>
        <w:rPr>
          <w:rFonts w:hint="eastAsia" w:ascii="国标仿宋-GB/T 2312" w:hAnsi="国标仿宋-GB/T 2312" w:eastAsia="国标仿宋-GB/T 2312" w:cs="国标仿宋-GB/T 2312"/>
          <w:sz w:val="28"/>
          <w:szCs w:val="28"/>
          <w:u w:val="single"/>
          <w:lang w:val="en-US" w:eastAsia="zh-CN"/>
        </w:rPr>
        <w:t>0.05</w:t>
      </w:r>
      <w:r>
        <w:rPr>
          <w:rFonts w:hint="eastAsia" w:ascii="国标仿宋-GB/T 2312" w:hAnsi="国标仿宋-GB/T 2312" w:eastAsia="国标仿宋-GB/T 2312" w:cs="国标仿宋-GB/T 2312"/>
          <w:sz w:val="28"/>
          <w:szCs w:val="28"/>
        </w:rPr>
        <w:t>%的违约金，逾期30日的，甲方有权单方解除本合同且保留追究乙方违约责任的权利，给甲方造成损失的，乙方还应予以赔偿。</w:t>
      </w:r>
    </w:p>
    <w:p w14:paraId="3A34C750">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（五）乙方应保证其提交的服务成果不存在侵犯他人权益的情形，否则，因此引发的责任及纠纷由乙方承担，对甲方造成损失的，乙方应予以赔偿，此外，乙方还应向甲方承担</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u w:val="single"/>
          <w:lang w:val="en-US" w:eastAsia="zh-CN"/>
        </w:rPr>
        <w:t>5</w:t>
      </w:r>
      <w:r>
        <w:rPr>
          <w:rFonts w:hint="eastAsia" w:ascii="国标仿宋-GB/T 2312" w:hAnsi="国标仿宋-GB/T 2312" w:eastAsia="国标仿宋-GB/T 2312" w:cs="国标仿宋-GB/T 2312"/>
          <w:sz w:val="28"/>
          <w:szCs w:val="28"/>
        </w:rPr>
        <w:t>%的违约金。</w:t>
      </w:r>
    </w:p>
    <w:bookmarkEnd w:id="2"/>
    <w:p w14:paraId="506CEAC6">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（六）乙方应对其服务及服务成果的合法性、科学性、有效性、客观性、真实性负责，否则，相关责任及纠纷由乙方承担，对甲方造成损失的，乙方应予赔偿，此外，乙方还应向甲方承担</w:t>
      </w:r>
      <w:r>
        <w:rPr>
          <w:rFonts w:hint="eastAsia" w:ascii="国标仿宋-GB/T 2312" w:hAnsi="国标仿宋-GB/T 2312" w:eastAsia="国标仿宋-GB/T 2312" w:cs="国标仿宋-GB/T 2312"/>
          <w:sz w:val="28"/>
          <w:szCs w:val="28"/>
          <w:lang w:eastAsia="zh-CN"/>
        </w:rPr>
        <w:t>合同总价款</w:t>
      </w:r>
      <w:r>
        <w:rPr>
          <w:rFonts w:hint="eastAsia" w:ascii="国标仿宋-GB/T 2312" w:hAnsi="国标仿宋-GB/T 2312" w:eastAsia="国标仿宋-GB/T 2312" w:cs="国标仿宋-GB/T 2312"/>
          <w:sz w:val="28"/>
          <w:szCs w:val="28"/>
          <w:u w:val="single"/>
        </w:rPr>
        <w:t>10</w:t>
      </w:r>
      <w:r>
        <w:rPr>
          <w:rFonts w:hint="eastAsia" w:ascii="国标仿宋-GB/T 2312" w:hAnsi="国标仿宋-GB/T 2312" w:eastAsia="国标仿宋-GB/T 2312" w:cs="国标仿宋-GB/T 2312"/>
          <w:sz w:val="28"/>
          <w:szCs w:val="28"/>
        </w:rPr>
        <w:t>%的违约金。</w:t>
      </w:r>
    </w:p>
    <w:p w14:paraId="6EFD00CE">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七）乙方在为甲方提供服务过程中所产生的所有成果，包括但不限于报告、方案、设计、软件等，其知识产权归甲方所有。未经甲方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34B6DCBA">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sz w:val="28"/>
          <w:szCs w:val="28"/>
        </w:rPr>
      </w:pPr>
      <w:r>
        <w:rPr>
          <w:rFonts w:hint="eastAsia" w:ascii="国标仿宋-GB/T 2312" w:hAnsi="国标仿宋-GB/T 2312" w:eastAsia="国标仿宋-GB/T 2312" w:cs="国标仿宋-GB/T 2312"/>
          <w:sz w:val="28"/>
          <w:szCs w:val="28"/>
        </w:rPr>
        <w:t>（八）若一方违反合同约定，除按照合同约定承担违约金外，对另一方方造成损失的，违约方还应予以赔偿。一方因另一方违约而产生的维权费用，包括但不限于诉讼费、律师费、保全费、鉴定费、评估费、公证费、差旅费等费用，均由乙方承担。</w:t>
      </w:r>
    </w:p>
    <w:p w14:paraId="60BA6228">
      <w:pPr>
        <w:keepNext w:val="0"/>
        <w:keepLines w:val="0"/>
        <w:pageBreakBefore w:val="0"/>
        <w:tabs>
          <w:tab w:val="left" w:pos="980"/>
        </w:tabs>
        <w:kinsoku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十二、合同争议的解决</w:t>
      </w:r>
    </w:p>
    <w:p w14:paraId="481D1624">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758684A2">
      <w:pPr>
        <w:keepNext w:val="0"/>
        <w:keepLines w:val="0"/>
        <w:pageBreakBefore w:val="0"/>
        <w:tabs>
          <w:tab w:val="left" w:pos="980"/>
        </w:tabs>
        <w:kinsoku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十三、不可抗力情况下的免责约定</w:t>
      </w:r>
    </w:p>
    <w:p w14:paraId="5AF9C38F">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1A869A05">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（一）在合同有效期内，任何一方因不可抗力事件导致不能履行合同，则合同履行期可延长，其延长期与不可抗力影响期相同。</w:t>
      </w:r>
    </w:p>
    <w:p w14:paraId="292BDE2A">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（二）不可抗力事件发生后，应立即通知对方，并寄送有关权威机构出具的证明。</w:t>
      </w:r>
    </w:p>
    <w:p w14:paraId="59AC3B8D">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（三）不可抗力事件延续60天以上，双方应通过友好协商，确定是否继续履行合同。</w:t>
      </w:r>
    </w:p>
    <w:p w14:paraId="0BDDD417">
      <w:pPr>
        <w:keepNext w:val="0"/>
        <w:keepLines w:val="0"/>
        <w:pageBreakBefore w:val="0"/>
        <w:tabs>
          <w:tab w:val="left" w:pos="980"/>
        </w:tabs>
        <w:kinsoku w:val="0"/>
        <w:wordWrap/>
        <w:overflowPunct/>
        <w:topLinePunct w:val="0"/>
        <w:autoSpaceDE/>
        <w:autoSpaceDN/>
        <w:bidi w:val="0"/>
        <w:adjustRightInd/>
        <w:spacing w:line="560" w:lineRule="exact"/>
        <w:ind w:firstLine="562" w:firstLineChars="200"/>
        <w:textAlignment w:val="auto"/>
        <w:rPr>
          <w:rFonts w:hint="eastAsia" w:ascii="国标仿宋-GB/T 2312" w:hAnsi="国标仿宋-GB/T 2312" w:eastAsia="国标仿宋-GB/T 2312" w:cs="国标仿宋-GB/T 2312"/>
          <w:b/>
          <w:bCs/>
          <w:color w:val="auto"/>
          <w:sz w:val="28"/>
          <w:szCs w:val="28"/>
          <w:highlight w:val="none"/>
          <w:lang w:val="en-US" w:eastAsia="zh-CN"/>
        </w:rPr>
      </w:pPr>
      <w:r>
        <w:rPr>
          <w:rFonts w:hint="eastAsia" w:ascii="国标仿宋-GB/T 2312" w:hAnsi="国标仿宋-GB/T 2312" w:eastAsia="国标仿宋-GB/T 2312" w:cs="国标仿宋-GB/T 2312"/>
          <w:b/>
          <w:bCs/>
          <w:color w:val="auto"/>
          <w:sz w:val="28"/>
          <w:szCs w:val="28"/>
          <w:highlight w:val="none"/>
          <w:lang w:val="en-US" w:eastAsia="zh-CN"/>
        </w:rPr>
        <w:t>十四、合同订立</w:t>
      </w:r>
    </w:p>
    <w:p w14:paraId="0D52A4E3">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B9782F8">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7D2ACCB6">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（三）本合同自双方的法定代表人（负责人）或授权代表签字并加盖单位公章之日起生效。</w:t>
      </w:r>
    </w:p>
    <w:p w14:paraId="4390C163">
      <w:pPr>
        <w:keepNext w:val="0"/>
        <w:keepLines w:val="0"/>
        <w:pageBreakBefore w:val="0"/>
        <w:tabs>
          <w:tab w:val="left" w:pos="980"/>
        </w:tabs>
        <w:kinsoku w:val="0"/>
        <w:wordWrap/>
        <w:overflowPunct/>
        <w:topLinePunct w:val="0"/>
        <w:autoSpaceDE/>
        <w:autoSpaceDN/>
        <w:bidi w:val="0"/>
        <w:adjustRightInd/>
        <w:spacing w:line="560" w:lineRule="exact"/>
        <w:ind w:firstLine="560" w:firstLineChars="200"/>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r>
        <w:rPr>
          <w:rFonts w:hint="eastAsia" w:ascii="国标仿宋-GB/T 2312" w:hAnsi="国标仿宋-GB/T 2312" w:eastAsia="国标仿宋-GB/T 2312" w:cs="国标仿宋-GB/T 2312"/>
          <w:color w:val="auto"/>
          <w:sz w:val="28"/>
          <w:szCs w:val="28"/>
          <w:highlight w:val="none"/>
          <w:lang w:val="en-US" w:eastAsia="zh-CN"/>
        </w:rPr>
        <w:t>（四）本合同一式</w:t>
      </w:r>
      <w:r>
        <w:rPr>
          <w:rFonts w:hint="eastAsia" w:ascii="国标仿宋-GB/T 2312" w:hAnsi="国标仿宋-GB/T 2312" w:eastAsia="国标仿宋-GB/T 2312" w:cs="国标仿宋-GB/T 2312"/>
          <w:color w:val="auto"/>
          <w:sz w:val="28"/>
          <w:szCs w:val="28"/>
          <w:highlight w:val="none"/>
          <w:u w:val="single"/>
          <w:lang w:val="en-US" w:eastAsia="zh-CN"/>
        </w:rPr>
        <w:t xml:space="preserve"> 捌 </w:t>
      </w:r>
      <w:r>
        <w:rPr>
          <w:rFonts w:hint="eastAsia" w:ascii="国标仿宋-GB/T 2312" w:hAnsi="国标仿宋-GB/T 2312" w:eastAsia="国标仿宋-GB/T 2312" w:cs="国标仿宋-GB/T 2312"/>
          <w:color w:val="auto"/>
          <w:sz w:val="28"/>
          <w:szCs w:val="28"/>
          <w:highlight w:val="none"/>
          <w:lang w:val="en-US" w:eastAsia="zh-CN"/>
        </w:rPr>
        <w:t>份，其中，甲方执</w:t>
      </w:r>
      <w:r>
        <w:rPr>
          <w:rFonts w:hint="eastAsia" w:ascii="国标仿宋-GB/T 2312" w:hAnsi="国标仿宋-GB/T 2312" w:eastAsia="国标仿宋-GB/T 2312" w:cs="国标仿宋-GB/T 2312"/>
          <w:color w:val="auto"/>
          <w:sz w:val="28"/>
          <w:szCs w:val="28"/>
          <w:highlight w:val="none"/>
          <w:u w:val="single"/>
          <w:lang w:val="en-US" w:eastAsia="zh-CN"/>
        </w:rPr>
        <w:t xml:space="preserve"> 肆 </w:t>
      </w:r>
      <w:r>
        <w:rPr>
          <w:rFonts w:hint="eastAsia" w:ascii="国标仿宋-GB/T 2312" w:hAnsi="国标仿宋-GB/T 2312" w:eastAsia="国标仿宋-GB/T 2312" w:cs="国标仿宋-GB/T 2312"/>
          <w:color w:val="auto"/>
          <w:sz w:val="28"/>
          <w:szCs w:val="28"/>
          <w:highlight w:val="none"/>
          <w:lang w:val="en-US" w:eastAsia="zh-CN"/>
        </w:rPr>
        <w:t>份，乙方执</w:t>
      </w:r>
      <w:r>
        <w:rPr>
          <w:rFonts w:hint="eastAsia" w:ascii="国标仿宋-GB/T 2312" w:hAnsi="国标仿宋-GB/T 2312" w:eastAsia="国标仿宋-GB/T 2312" w:cs="国标仿宋-GB/T 2312"/>
          <w:color w:val="auto"/>
          <w:sz w:val="28"/>
          <w:szCs w:val="28"/>
          <w:highlight w:val="none"/>
          <w:u w:val="single"/>
          <w:lang w:val="en-US" w:eastAsia="zh-CN"/>
        </w:rPr>
        <w:t xml:space="preserve"> 肆 </w:t>
      </w:r>
      <w:r>
        <w:rPr>
          <w:rFonts w:hint="eastAsia" w:ascii="国标仿宋-GB/T 2312" w:hAnsi="国标仿宋-GB/T 2312" w:eastAsia="国标仿宋-GB/T 2312" w:cs="国标仿宋-GB/T 2312"/>
          <w:color w:val="auto"/>
          <w:sz w:val="28"/>
          <w:szCs w:val="28"/>
          <w:highlight w:val="none"/>
          <w:lang w:val="en-US" w:eastAsia="zh-CN"/>
        </w:rPr>
        <w:t>份，具有同等法律效力。</w:t>
      </w:r>
    </w:p>
    <w:p w14:paraId="50FF28BD">
      <w:pPr>
        <w:keepNext w:val="0"/>
        <w:keepLines w:val="0"/>
        <w:pageBreakBefore w:val="0"/>
        <w:widowControl w:val="0"/>
        <w:wordWrap/>
        <w:overflowPunct/>
        <w:topLinePunct w:val="0"/>
        <w:autoSpaceDE/>
        <w:autoSpaceDN/>
        <w:bidi w:val="0"/>
        <w:adjustRightInd/>
        <w:spacing w:line="560" w:lineRule="exact"/>
        <w:jc w:val="both"/>
        <w:textAlignment w:val="auto"/>
        <w:rPr>
          <w:rFonts w:hint="eastAsia" w:ascii="国标仿宋-GB/T 2312" w:hAnsi="国标仿宋-GB/T 2312" w:eastAsia="国标仿宋-GB/T 2312" w:cs="国标仿宋-GB/T 2312"/>
          <w:color w:val="auto"/>
          <w:kern w:val="2"/>
          <w:sz w:val="28"/>
          <w:szCs w:val="28"/>
          <w:highlight w:val="none"/>
          <w:lang w:val="en-US" w:eastAsia="zh-CN" w:bidi="ar-SA"/>
        </w:rPr>
      </w:pPr>
    </w:p>
    <w:p w14:paraId="46D7F3B2">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甲方：</w:t>
      </w:r>
      <w:r>
        <w:rPr>
          <w:rFonts w:hint="eastAsia" w:ascii="国标仿宋-GB/T 2312" w:hAnsi="国标仿宋-GB/T 2312" w:eastAsia="国标仿宋-GB/T 2312" w:cs="国标仿宋-GB/T 2312"/>
          <w:color w:val="auto"/>
          <w:sz w:val="28"/>
          <w:szCs w:val="28"/>
          <w:highlight w:val="none"/>
          <w:u w:val="single"/>
          <w:lang w:val="en-US" w:eastAsia="zh-CN"/>
        </w:rPr>
        <w:t xml:space="preserve">      陕西省公路局（盖章）       </w:t>
      </w:r>
      <w:r>
        <w:rPr>
          <w:rFonts w:hint="eastAsia" w:ascii="国标仿宋-GB/T 2312" w:hAnsi="国标仿宋-GB/T 2312" w:eastAsia="国标仿宋-GB/T 2312" w:cs="国标仿宋-GB/T 2312"/>
          <w:color w:val="auto"/>
          <w:sz w:val="28"/>
          <w:szCs w:val="28"/>
          <w:highlight w:val="none"/>
          <w:lang w:val="en-US" w:eastAsia="zh-CN"/>
        </w:rPr>
        <w:t xml:space="preserve">                  </w:t>
      </w:r>
    </w:p>
    <w:p w14:paraId="0A199A9D">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地 址：陕西省西安市碑林区含光北路110号 </w:t>
      </w:r>
    </w:p>
    <w:p w14:paraId="323E35C2">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开户行及账号：611301033018010000003</w:t>
      </w:r>
    </w:p>
    <w:p w14:paraId="57F1B08B">
      <w:pPr>
        <w:keepNext w:val="0"/>
        <w:keepLines w:val="0"/>
        <w:pageBreakBefore w:val="0"/>
        <w:tabs>
          <w:tab w:val="left" w:pos="980"/>
        </w:tabs>
        <w:kinsoku w:val="0"/>
        <w:wordWrap/>
        <w:overflowPunct/>
        <w:topLinePunct w:val="0"/>
        <w:autoSpaceDE/>
        <w:autoSpaceDN/>
        <w:bidi w:val="0"/>
        <w:adjustRightInd/>
        <w:spacing w:line="560" w:lineRule="exact"/>
        <w:ind w:firstLine="3360" w:firstLineChars="12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交通银行西安城南支行                                   </w:t>
      </w:r>
    </w:p>
    <w:p w14:paraId="433B7974">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法定代表人或其授权                   </w:t>
      </w:r>
    </w:p>
    <w:p w14:paraId="7787678B">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的代理人：（签字） </w:t>
      </w:r>
      <w:r>
        <w:rPr>
          <w:rFonts w:hint="eastAsia" w:ascii="国标仿宋-GB/T 2312" w:hAnsi="国标仿宋-GB/T 2312" w:eastAsia="国标仿宋-GB/T 2312" w:cs="国标仿宋-GB/T 2312"/>
          <w:color w:val="auto"/>
          <w:sz w:val="28"/>
          <w:szCs w:val="28"/>
          <w:highlight w:val="none"/>
          <w:u w:val="single"/>
          <w:lang w:val="en-US" w:eastAsia="zh-CN"/>
        </w:rPr>
        <w:t xml:space="preserve">                    </w:t>
      </w:r>
    </w:p>
    <w:p w14:paraId="08AB1E3A">
      <w:pPr>
        <w:keepNext w:val="0"/>
        <w:keepLines w:val="0"/>
        <w:pageBreakBefore w:val="0"/>
        <w:widowControl w:val="0"/>
        <w:shd w:val="clear"/>
        <w:kinsoku/>
        <w:wordWrap/>
        <w:overflowPunct/>
        <w:topLinePunct w:val="0"/>
        <w:autoSpaceDE/>
        <w:autoSpaceDN/>
        <w:bidi w:val="0"/>
        <w:adjustRightInd/>
        <w:snapToGrid/>
        <w:spacing w:line="560" w:lineRule="exact"/>
        <w:ind w:firstLine="420"/>
        <w:jc w:val="right"/>
        <w:textAlignment w:val="auto"/>
        <w:rPr>
          <w:rFonts w:hint="eastAsia" w:ascii="国标仿宋-GB/T 2312" w:hAnsi="国标仿宋-GB/T 2312" w:eastAsia="国标仿宋-GB/T 2312" w:cs="国标仿宋-GB/T 2312"/>
          <w:color w:val="auto"/>
          <w:sz w:val="28"/>
          <w:szCs w:val="28"/>
          <w:highlight w:val="none"/>
          <w:lang w:val="en-US" w:eastAsia="zh-Hans"/>
        </w:rPr>
      </w:pPr>
      <w:r>
        <w:rPr>
          <w:rFonts w:hint="eastAsia" w:ascii="国标仿宋-GB/T 2312" w:hAnsi="国标仿宋-GB/T 2312" w:eastAsia="国标仿宋-GB/T 2312" w:cs="国标仿宋-GB/T 2312"/>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 xml:space="preserve">年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月</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日</w:t>
      </w:r>
    </w:p>
    <w:p w14:paraId="6E00DCF4">
      <w:pPr>
        <w:keepNext w:val="0"/>
        <w:keepLines w:val="0"/>
        <w:pageBreakBefore w:val="0"/>
        <w:widowControl w:val="0"/>
        <w:shd w:val="clear"/>
        <w:kinsoku/>
        <w:wordWrap/>
        <w:overflowPunct/>
        <w:topLinePunct w:val="0"/>
        <w:autoSpaceDE/>
        <w:autoSpaceDN/>
        <w:bidi w:val="0"/>
        <w:adjustRightInd/>
        <w:snapToGrid/>
        <w:spacing w:line="560" w:lineRule="exact"/>
        <w:ind w:firstLine="420"/>
        <w:jc w:val="right"/>
        <w:textAlignment w:val="auto"/>
        <w:rPr>
          <w:rFonts w:hint="eastAsia" w:ascii="国标仿宋-GB/T 2312" w:hAnsi="国标仿宋-GB/T 2312" w:eastAsia="国标仿宋-GB/T 2312" w:cs="国标仿宋-GB/T 2312"/>
          <w:color w:val="auto"/>
          <w:sz w:val="28"/>
          <w:szCs w:val="28"/>
          <w:highlight w:val="none"/>
          <w:lang w:val="en-US" w:eastAsia="zh-Hans"/>
        </w:rPr>
      </w:pPr>
    </w:p>
    <w:p w14:paraId="6FAAC4D4">
      <w:pPr>
        <w:pStyle w:val="7"/>
        <w:keepNext w:val="0"/>
        <w:keepLines w:val="0"/>
        <w:pageBreakBefore w:val="0"/>
        <w:wordWrap/>
        <w:overflowPunct/>
        <w:topLinePunct w:val="0"/>
        <w:autoSpaceDE/>
        <w:autoSpaceDN/>
        <w:bidi w:val="0"/>
        <w:adjustRightInd/>
        <w:spacing w:line="560" w:lineRule="exact"/>
        <w:textAlignment w:val="auto"/>
        <w:rPr>
          <w:rFonts w:hint="eastAsia" w:ascii="国标仿宋-GB/T 2312" w:hAnsi="国标仿宋-GB/T 2312" w:eastAsia="国标仿宋-GB/T 2312" w:cs="国标仿宋-GB/T 2312"/>
          <w:color w:val="auto"/>
          <w:sz w:val="28"/>
          <w:szCs w:val="28"/>
          <w:highlight w:val="none"/>
          <w:u w:val="single"/>
        </w:rPr>
      </w:pPr>
      <w:r>
        <w:rPr>
          <w:rFonts w:hint="eastAsia" w:ascii="国标仿宋-GB/T 2312" w:hAnsi="国标仿宋-GB/T 2312" w:eastAsia="国标仿宋-GB/T 2312" w:cs="国标仿宋-GB/T 2312"/>
          <w:color w:val="auto"/>
          <w:sz w:val="28"/>
          <w:szCs w:val="28"/>
          <w:highlight w:val="none"/>
        </w:rPr>
        <w:t xml:space="preserve">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rPr>
        <w:t xml:space="preserve"> </w:t>
      </w:r>
      <w:r>
        <w:rPr>
          <w:rFonts w:hint="eastAsia" w:ascii="国标仿宋-GB/T 2312" w:hAnsi="国标仿宋-GB/T 2312" w:eastAsia="国标仿宋-GB/T 2312" w:cs="国标仿宋-GB/T 2312"/>
          <w:color w:val="auto"/>
          <w:sz w:val="28"/>
          <w:szCs w:val="28"/>
          <w:highlight w:val="none"/>
          <w:lang w:val="en-US" w:eastAsia="zh-CN"/>
        </w:rPr>
        <w:t>乙  方</w:t>
      </w:r>
      <w:r>
        <w:rPr>
          <w:rFonts w:hint="eastAsia" w:ascii="国标仿宋-GB/T 2312" w:hAnsi="国标仿宋-GB/T 2312" w:eastAsia="国标仿宋-GB/T 2312" w:cs="国标仿宋-GB/T 2312"/>
          <w:color w:val="auto"/>
          <w:sz w:val="28"/>
          <w:szCs w:val="28"/>
          <w:highlight w:val="none"/>
        </w:rPr>
        <w:t>：</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u w:val="single"/>
        </w:rPr>
        <w:t>（盖章）</w:t>
      </w:r>
    </w:p>
    <w:p w14:paraId="2A4BB966">
      <w:pPr>
        <w:pStyle w:val="7"/>
        <w:keepNext w:val="0"/>
        <w:keepLines w:val="0"/>
        <w:pageBreakBefore w:val="0"/>
        <w:wordWrap/>
        <w:overflowPunct/>
        <w:topLinePunct w:val="0"/>
        <w:autoSpaceDE/>
        <w:autoSpaceDN/>
        <w:bidi w:val="0"/>
        <w:adjustRightInd/>
        <w:spacing w:line="560" w:lineRule="exact"/>
        <w:textAlignment w:val="auto"/>
        <w:rPr>
          <w:rFonts w:hint="eastAsia" w:ascii="国标仿宋-GB/T 2312" w:hAnsi="国标仿宋-GB/T 2312" w:eastAsia="国标仿宋-GB/T 2312" w:cs="国标仿宋-GB/T 2312"/>
          <w:color w:val="auto"/>
          <w:sz w:val="28"/>
          <w:szCs w:val="28"/>
          <w:highlight w:val="none"/>
          <w:u w:val="single"/>
        </w:rPr>
      </w:pPr>
      <w:r>
        <w:rPr>
          <w:rFonts w:hint="eastAsia" w:ascii="国标仿宋-GB/T 2312" w:hAnsi="国标仿宋-GB/T 2312" w:eastAsia="国标仿宋-GB/T 2312" w:cs="国标仿宋-GB/T 2312"/>
          <w:color w:val="auto"/>
          <w:sz w:val="28"/>
          <w:szCs w:val="28"/>
          <w:highlight w:val="none"/>
        </w:rPr>
        <w:t xml:space="preserve">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rPr>
        <w:t>地  址：</w:t>
      </w:r>
      <w:r>
        <w:rPr>
          <w:rFonts w:hint="eastAsia" w:ascii="国标仿宋-GB/T 2312" w:hAnsi="国标仿宋-GB/T 2312" w:eastAsia="国标仿宋-GB/T 2312" w:cs="国标仿宋-GB/T 2312"/>
          <w:color w:val="auto"/>
          <w:sz w:val="28"/>
          <w:szCs w:val="28"/>
          <w:highlight w:val="none"/>
          <w:u w:val="single"/>
          <w:lang w:val="en-US" w:eastAsia="zh-CN"/>
        </w:rPr>
        <w:t xml:space="preserve">                             </w:t>
      </w:r>
      <w:r>
        <w:rPr>
          <w:rFonts w:hint="eastAsia" w:ascii="国标仿宋-GB/T 2312" w:hAnsi="国标仿宋-GB/T 2312" w:eastAsia="国标仿宋-GB/T 2312" w:cs="国标仿宋-GB/T 2312"/>
          <w:color w:val="auto"/>
          <w:sz w:val="28"/>
          <w:szCs w:val="28"/>
          <w:highlight w:val="none"/>
          <w:u w:val="single"/>
        </w:rPr>
        <w:t xml:space="preserve">  </w:t>
      </w:r>
    </w:p>
    <w:p w14:paraId="77FE9AE0">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bCs/>
          <w:color w:val="auto"/>
          <w:sz w:val="28"/>
          <w:szCs w:val="28"/>
          <w:highlight w:val="none"/>
          <w:u w:val="single"/>
          <w:lang w:val="en-US" w:eastAsia="zh-CN" w:bidi="ar"/>
        </w:rPr>
      </w:pPr>
      <w:r>
        <w:rPr>
          <w:rFonts w:hint="eastAsia" w:ascii="国标仿宋-GB/T 2312" w:hAnsi="国标仿宋-GB/T 2312" w:eastAsia="国标仿宋-GB/T 2312" w:cs="国标仿宋-GB/T 2312"/>
          <w:color w:val="auto"/>
          <w:sz w:val="28"/>
          <w:szCs w:val="28"/>
          <w:highlight w:val="none"/>
          <w:lang w:val="en-US" w:eastAsia="zh-CN"/>
        </w:rPr>
        <w:t>开户行：</w:t>
      </w:r>
      <w:r>
        <w:rPr>
          <w:rFonts w:hint="eastAsia" w:ascii="国标仿宋-GB/T 2312" w:hAnsi="国标仿宋-GB/T 2312" w:eastAsia="国标仿宋-GB/T 2312" w:cs="国标仿宋-GB/T 2312"/>
          <w:bCs/>
          <w:color w:val="auto"/>
          <w:sz w:val="28"/>
          <w:szCs w:val="28"/>
          <w:highlight w:val="none"/>
          <w:u w:val="single"/>
          <w:lang w:val="en-US" w:eastAsia="zh-CN" w:bidi="ar"/>
        </w:rPr>
        <w:t xml:space="preserve">                               </w:t>
      </w:r>
    </w:p>
    <w:p w14:paraId="3F43A091">
      <w:pPr>
        <w:keepNext w:val="0"/>
        <w:keepLines w:val="0"/>
        <w:pageBreakBefore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bCs/>
          <w:color w:val="auto"/>
          <w:sz w:val="28"/>
          <w:szCs w:val="28"/>
          <w:highlight w:val="none"/>
          <w:lang w:bidi="ar"/>
        </w:rPr>
        <w:t xml:space="preserve">账 </w:t>
      </w:r>
      <w:r>
        <w:rPr>
          <w:rFonts w:hint="eastAsia" w:ascii="国标仿宋-GB/T 2312" w:hAnsi="国标仿宋-GB/T 2312" w:eastAsia="国标仿宋-GB/T 2312" w:cs="国标仿宋-GB/T 2312"/>
          <w:bCs/>
          <w:color w:val="auto"/>
          <w:sz w:val="28"/>
          <w:szCs w:val="28"/>
          <w:highlight w:val="none"/>
          <w:lang w:val="en-US" w:eastAsia="zh-CN" w:bidi="ar"/>
        </w:rPr>
        <w:t xml:space="preserve"> </w:t>
      </w:r>
      <w:r>
        <w:rPr>
          <w:rFonts w:hint="eastAsia" w:ascii="国标仿宋-GB/T 2312" w:hAnsi="国标仿宋-GB/T 2312" w:eastAsia="国标仿宋-GB/T 2312" w:cs="国标仿宋-GB/T 2312"/>
          <w:bCs/>
          <w:color w:val="auto"/>
          <w:sz w:val="28"/>
          <w:szCs w:val="28"/>
          <w:highlight w:val="none"/>
          <w:lang w:bidi="ar"/>
        </w:rPr>
        <w:t>号：</w:t>
      </w:r>
      <w:r>
        <w:rPr>
          <w:rFonts w:hint="eastAsia" w:ascii="国标仿宋-GB/T 2312" w:hAnsi="国标仿宋-GB/T 2312" w:eastAsia="国标仿宋-GB/T 2312" w:cs="国标仿宋-GB/T 2312"/>
          <w:bCs/>
          <w:color w:val="auto"/>
          <w:sz w:val="28"/>
          <w:szCs w:val="28"/>
          <w:highlight w:val="none"/>
          <w:u w:val="single"/>
          <w:lang w:val="en-US" w:eastAsia="zh-CN" w:bidi="ar"/>
        </w:rPr>
        <w:t xml:space="preserve">                               </w:t>
      </w:r>
      <w:r>
        <w:rPr>
          <w:rFonts w:hint="eastAsia" w:ascii="国标仿宋-GB/T 2312" w:hAnsi="国标仿宋-GB/T 2312" w:eastAsia="国标仿宋-GB/T 2312" w:cs="国标仿宋-GB/T 2312"/>
          <w:color w:val="auto"/>
          <w:sz w:val="28"/>
          <w:szCs w:val="28"/>
          <w:highlight w:val="none"/>
          <w:lang w:val="en-US" w:eastAsia="zh-CN"/>
        </w:rPr>
        <w:t xml:space="preserve">     </w:t>
      </w:r>
    </w:p>
    <w:p w14:paraId="6D305414">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法定代表人或其授权                   </w:t>
      </w:r>
    </w:p>
    <w:p w14:paraId="6D03D0D5">
      <w:pPr>
        <w:keepNext w:val="0"/>
        <w:keepLines w:val="0"/>
        <w:pageBreakBefore w:val="0"/>
        <w:tabs>
          <w:tab w:val="left" w:pos="980"/>
        </w:tabs>
        <w:kinsoku w:val="0"/>
        <w:wordWrap/>
        <w:overflowPunct/>
        <w:topLinePunct w:val="0"/>
        <w:autoSpaceDE/>
        <w:autoSpaceDN/>
        <w:bidi w:val="0"/>
        <w:adjustRightInd/>
        <w:spacing w:line="560" w:lineRule="exact"/>
        <w:ind w:firstLine="1400" w:firstLineChars="500"/>
        <w:textAlignment w:val="auto"/>
        <w:rPr>
          <w:rFonts w:hint="eastAsia" w:ascii="国标仿宋-GB/T 2312" w:hAnsi="国标仿宋-GB/T 2312" w:eastAsia="国标仿宋-GB/T 2312" w:cs="国标仿宋-GB/T 2312"/>
          <w:color w:val="auto"/>
          <w:sz w:val="28"/>
          <w:szCs w:val="28"/>
          <w:highlight w:val="none"/>
          <w:u w:val="single"/>
          <w:lang w:val="en-US" w:eastAsia="zh-CN"/>
        </w:rPr>
      </w:pPr>
      <w:r>
        <w:rPr>
          <w:rFonts w:hint="eastAsia" w:ascii="国标仿宋-GB/T 2312" w:hAnsi="国标仿宋-GB/T 2312" w:eastAsia="国标仿宋-GB/T 2312" w:cs="国标仿宋-GB/T 2312"/>
          <w:color w:val="auto"/>
          <w:sz w:val="28"/>
          <w:szCs w:val="28"/>
          <w:highlight w:val="none"/>
          <w:lang w:val="en-US" w:eastAsia="zh-CN"/>
        </w:rPr>
        <w:t xml:space="preserve">的代理人：（签字） </w:t>
      </w:r>
      <w:r>
        <w:rPr>
          <w:rFonts w:hint="eastAsia" w:ascii="国标仿宋-GB/T 2312" w:hAnsi="国标仿宋-GB/T 2312" w:eastAsia="国标仿宋-GB/T 2312" w:cs="国标仿宋-GB/T 2312"/>
          <w:color w:val="auto"/>
          <w:sz w:val="28"/>
          <w:szCs w:val="28"/>
          <w:highlight w:val="none"/>
          <w:u w:val="single"/>
          <w:lang w:val="en-US" w:eastAsia="zh-CN"/>
        </w:rPr>
        <w:t xml:space="preserve">                    </w:t>
      </w:r>
    </w:p>
    <w:p w14:paraId="2A1CC8E4">
      <w:pPr>
        <w:keepNext w:val="0"/>
        <w:keepLines w:val="0"/>
        <w:pageBreakBefore w:val="0"/>
        <w:widowControl w:val="0"/>
        <w:shd w:val="clear"/>
        <w:kinsoku/>
        <w:wordWrap/>
        <w:overflowPunct/>
        <w:topLinePunct w:val="0"/>
        <w:autoSpaceDE/>
        <w:autoSpaceDN/>
        <w:bidi w:val="0"/>
        <w:adjustRightInd/>
        <w:snapToGrid/>
        <w:spacing w:line="560" w:lineRule="exact"/>
        <w:ind w:firstLine="420"/>
        <w:textAlignment w:val="auto"/>
        <w:rPr>
          <w:rFonts w:hint="eastAsia" w:ascii="国标仿宋-GB/T 2312" w:hAnsi="国标仿宋-GB/T 2312" w:eastAsia="国标仿宋-GB/T 2312" w:cs="国标仿宋-GB/T 2312"/>
          <w:color w:val="auto"/>
          <w:sz w:val="28"/>
          <w:szCs w:val="28"/>
          <w:highlight w:val="none"/>
          <w:lang w:val="en-US" w:eastAsia="zh-CN"/>
        </w:rPr>
      </w:pPr>
      <w:r>
        <w:rPr>
          <w:rFonts w:hint="eastAsia" w:ascii="国标仿宋-GB/T 2312" w:hAnsi="国标仿宋-GB/T 2312" w:eastAsia="国标仿宋-GB/T 2312" w:cs="国标仿宋-GB/T 2312"/>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 xml:space="preserve">年   </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月</w:t>
      </w:r>
      <w:r>
        <w:rPr>
          <w:rFonts w:hint="eastAsia" w:ascii="国标仿宋-GB/T 2312" w:hAnsi="国标仿宋-GB/T 2312" w:eastAsia="国标仿宋-GB/T 2312" w:cs="国标仿宋-GB/T 2312"/>
          <w:color w:val="auto"/>
          <w:sz w:val="28"/>
          <w:szCs w:val="28"/>
          <w:highlight w:val="none"/>
          <w:lang w:val="en-US" w:eastAsia="zh-CN"/>
        </w:rPr>
        <w:t xml:space="preserve">    </w:t>
      </w:r>
      <w:r>
        <w:rPr>
          <w:rFonts w:hint="eastAsia" w:ascii="国标仿宋-GB/T 2312" w:hAnsi="国标仿宋-GB/T 2312" w:eastAsia="国标仿宋-GB/T 2312" w:cs="国标仿宋-GB/T 2312"/>
          <w:color w:val="auto"/>
          <w:sz w:val="28"/>
          <w:szCs w:val="28"/>
          <w:highlight w:val="none"/>
          <w:lang w:val="en-US" w:eastAsia="zh-Hans"/>
        </w:rPr>
        <w:t>日</w:t>
      </w:r>
    </w:p>
    <w:p w14:paraId="4E5B3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C9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2026-05-29T02:30:00Z</dcterms:created>
  <dc:creator>Administrator</dc:creator>
  <cp:lastModifiedBy>Jun</cp:lastModifiedBy>
  <dcterms:modified xsi:type="dcterms:W3CDTF">2026-05-29T02:31:49Z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eyJoZGlkIjoiNTdiYzNlMzRkZTc3MGM3YjQxNTBlMTcyYWQzMGNlNmQiLCJ1c2VySWQiOiIyNTQ0OTA1OTQifQ==</vt:lpwstr>
  </property>
  <property fmtid="{D5CDD505-2E9C-101B-9397-08002B2CF9AE}" pid="4" name="ICV">
    <vt:lpwstr>D2217FBC1083455CB228FE03CD7A4C10_12</vt:lpwstr>
  </property>
</Properties>
</file>