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7EF830">
      <w:pPr>
        <w:pStyle w:val="2"/>
        <w:pageBreakBefore w:val="0"/>
        <w:topLinePunct w:val="0"/>
        <w:bidi w:val="0"/>
        <w:spacing w:line="540" w:lineRule="exact"/>
        <w:jc w:val="center"/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采购需求</w:t>
      </w:r>
    </w:p>
    <w:p w14:paraId="74B493C6">
      <w:pPr>
        <w:pageBreakBefore w:val="0"/>
        <w:topLinePunct w:val="0"/>
        <w:bidi w:val="0"/>
        <w:spacing w:line="540" w:lineRule="exact"/>
        <w:ind w:left="480"/>
        <w:rPr>
          <w:rFonts w:hint="eastAsia" w:ascii="仿宋" w:hAnsi="仿宋" w:eastAsia="仿宋" w:cs="仿宋"/>
          <w:b/>
          <w:bCs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highlight w:val="none"/>
        </w:rPr>
        <w:t>一、技术要求</w:t>
      </w:r>
    </w:p>
    <w:p w14:paraId="124924F8">
      <w:pPr>
        <w:pStyle w:val="11"/>
        <w:pageBreakBefore w:val="0"/>
        <w:topLinePunct w:val="0"/>
        <w:bidi w:val="0"/>
        <w:spacing w:line="540" w:lineRule="exact"/>
        <w:ind w:firstLine="480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1、保险方案</w:t>
      </w:r>
    </w:p>
    <w:p w14:paraId="6F62EAA1">
      <w:pPr>
        <w:pStyle w:val="11"/>
        <w:pageBreakBefore w:val="0"/>
        <w:topLinePunct w:val="0"/>
        <w:bidi w:val="0"/>
        <w:spacing w:line="540" w:lineRule="exact"/>
        <w:ind w:firstLineChars="0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在保险期间内，在校学生在教育教学活动期间或由学校统一组织并带领下的校（园）外活动中，以及在学校负有管理责任的校舍、场地、其他教育教学设施、生活设施、交通工具内发生人身损害事故，依照中华人民共和国法律应由学校承担的经济赔偿责任，保险人按照约定负责赔偿。</w:t>
      </w:r>
    </w:p>
    <w:tbl>
      <w:tblPr>
        <w:tblStyle w:val="8"/>
        <w:tblW w:w="4517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5"/>
        <w:gridCol w:w="3018"/>
        <w:gridCol w:w="1401"/>
        <w:gridCol w:w="1642"/>
        <w:gridCol w:w="1636"/>
      </w:tblGrid>
      <w:tr w14:paraId="11CA54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1" w:hRule="atLeast"/>
          <w:jc w:val="center"/>
        </w:trPr>
        <w:tc>
          <w:tcPr>
            <w:tcW w:w="468" w:type="pct"/>
            <w:vAlign w:val="center"/>
          </w:tcPr>
          <w:p w14:paraId="6EC673AD">
            <w:pPr>
              <w:pageBreakBefore w:val="0"/>
              <w:topLinePunct w:val="0"/>
              <w:bidi w:val="0"/>
              <w:spacing w:line="540" w:lineRule="exact"/>
              <w:jc w:val="center"/>
              <w:rPr>
                <w:rFonts w:hint="eastAsia" w:ascii="仿宋" w:hAnsi="仿宋" w:eastAsia="仿宋" w:cs="仿宋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highlight w:val="none"/>
              </w:rPr>
              <w:t>序号</w:t>
            </w:r>
          </w:p>
        </w:tc>
        <w:tc>
          <w:tcPr>
            <w:tcW w:w="1777" w:type="pct"/>
            <w:vAlign w:val="center"/>
          </w:tcPr>
          <w:p w14:paraId="3FE9EADD">
            <w:pPr>
              <w:pageBreakBefore w:val="0"/>
              <w:topLinePunct w:val="0"/>
              <w:bidi w:val="0"/>
              <w:spacing w:line="540" w:lineRule="exact"/>
              <w:jc w:val="center"/>
              <w:rPr>
                <w:rFonts w:hint="eastAsia" w:ascii="仿宋" w:hAnsi="仿宋" w:eastAsia="仿宋" w:cs="仿宋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highlight w:val="none"/>
              </w:rPr>
              <w:t>保险项目</w:t>
            </w:r>
          </w:p>
        </w:tc>
        <w:tc>
          <w:tcPr>
            <w:tcW w:w="825" w:type="pct"/>
            <w:vAlign w:val="center"/>
          </w:tcPr>
          <w:p w14:paraId="26BDA9CD">
            <w:pPr>
              <w:pageBreakBefore w:val="0"/>
              <w:topLinePunct w:val="0"/>
              <w:bidi w:val="0"/>
              <w:spacing w:line="540" w:lineRule="exact"/>
              <w:jc w:val="center"/>
              <w:rPr>
                <w:rFonts w:hint="eastAsia" w:ascii="仿宋" w:hAnsi="仿宋" w:eastAsia="仿宋" w:cs="仿宋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highlight w:val="none"/>
              </w:rPr>
              <w:t>每生每年赔偿限额（万元）</w:t>
            </w:r>
          </w:p>
        </w:tc>
        <w:tc>
          <w:tcPr>
            <w:tcW w:w="967" w:type="pct"/>
            <w:vAlign w:val="center"/>
          </w:tcPr>
          <w:p w14:paraId="7DEC4DD3">
            <w:pPr>
              <w:pageBreakBefore w:val="0"/>
              <w:topLinePunct w:val="0"/>
              <w:bidi w:val="0"/>
              <w:spacing w:line="540" w:lineRule="exact"/>
              <w:jc w:val="center"/>
              <w:rPr>
                <w:rFonts w:hint="eastAsia" w:ascii="仿宋" w:hAnsi="仿宋" w:eastAsia="仿宋" w:cs="仿宋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highlight w:val="none"/>
              </w:rPr>
              <w:t>每校每次赔偿限额（万元）</w:t>
            </w:r>
          </w:p>
        </w:tc>
        <w:tc>
          <w:tcPr>
            <w:tcW w:w="963" w:type="pct"/>
            <w:vAlign w:val="center"/>
          </w:tcPr>
          <w:p w14:paraId="17BAA9E5">
            <w:pPr>
              <w:pageBreakBefore w:val="0"/>
              <w:topLinePunct w:val="0"/>
              <w:bidi w:val="0"/>
              <w:spacing w:line="540" w:lineRule="exact"/>
              <w:jc w:val="center"/>
              <w:rPr>
                <w:rFonts w:hint="eastAsia" w:ascii="仿宋" w:hAnsi="仿宋" w:eastAsia="仿宋" w:cs="仿宋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highlight w:val="none"/>
              </w:rPr>
              <w:t>每校每年累计赔偿限额（万元）</w:t>
            </w:r>
          </w:p>
        </w:tc>
      </w:tr>
      <w:tr w14:paraId="24B3E2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  <w:jc w:val="center"/>
        </w:trPr>
        <w:tc>
          <w:tcPr>
            <w:tcW w:w="468" w:type="pct"/>
            <w:vAlign w:val="center"/>
          </w:tcPr>
          <w:p w14:paraId="7F6C4851">
            <w:pPr>
              <w:pageBreakBefore w:val="0"/>
              <w:topLinePunct w:val="0"/>
              <w:bidi w:val="0"/>
              <w:spacing w:line="540" w:lineRule="exact"/>
              <w:jc w:val="center"/>
              <w:rPr>
                <w:rFonts w:hint="eastAsia" w:ascii="仿宋" w:hAnsi="仿宋" w:eastAsia="仿宋" w:cs="仿宋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highlight w:val="none"/>
              </w:rPr>
              <w:t>1</w:t>
            </w:r>
          </w:p>
        </w:tc>
        <w:tc>
          <w:tcPr>
            <w:tcW w:w="3018" w:type="dxa"/>
            <w:vAlign w:val="center"/>
          </w:tcPr>
          <w:p w14:paraId="081BDF33">
            <w:pPr>
              <w:pageBreakBefore w:val="0"/>
              <w:topLinePunct w:val="0"/>
              <w:bidi w:val="0"/>
              <w:spacing w:line="540" w:lineRule="exact"/>
              <w:jc w:val="center"/>
              <w:rPr>
                <w:rFonts w:hint="eastAsia" w:ascii="仿宋" w:hAnsi="仿宋" w:eastAsia="仿宋" w:cs="仿宋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校方责任保险</w:t>
            </w:r>
          </w:p>
        </w:tc>
        <w:tc>
          <w:tcPr>
            <w:tcW w:w="1401" w:type="dxa"/>
            <w:vAlign w:val="center"/>
          </w:tcPr>
          <w:p w14:paraId="0ADCF8EB">
            <w:pPr>
              <w:pageBreakBefore w:val="0"/>
              <w:topLinePunct w:val="0"/>
              <w:bidi w:val="0"/>
              <w:spacing w:line="540" w:lineRule="exact"/>
              <w:jc w:val="center"/>
              <w:rPr>
                <w:rFonts w:hint="eastAsia" w:ascii="仿宋" w:hAnsi="仿宋" w:eastAsia="仿宋" w:cs="仿宋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</w:rPr>
              <w:t>70</w:t>
            </w:r>
          </w:p>
        </w:tc>
        <w:tc>
          <w:tcPr>
            <w:tcW w:w="1642" w:type="dxa"/>
            <w:vAlign w:val="center"/>
          </w:tcPr>
          <w:p w14:paraId="271BB8C3">
            <w:pPr>
              <w:pageBreakBefore w:val="0"/>
              <w:topLinePunct w:val="0"/>
              <w:bidi w:val="0"/>
              <w:spacing w:line="540" w:lineRule="exact"/>
              <w:jc w:val="center"/>
              <w:rPr>
                <w:rFonts w:hint="eastAsia" w:ascii="仿宋" w:hAnsi="仿宋" w:eastAsia="仿宋" w:cs="仿宋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</w:rPr>
              <w:t>800</w:t>
            </w:r>
          </w:p>
        </w:tc>
        <w:tc>
          <w:tcPr>
            <w:tcW w:w="1636" w:type="dxa"/>
            <w:vAlign w:val="center"/>
          </w:tcPr>
          <w:p w14:paraId="2AFDCB98">
            <w:pPr>
              <w:pageBreakBefore w:val="0"/>
              <w:topLinePunct w:val="0"/>
              <w:bidi w:val="0"/>
              <w:spacing w:line="540" w:lineRule="exact"/>
              <w:jc w:val="center"/>
              <w:rPr>
                <w:rFonts w:hint="eastAsia" w:ascii="仿宋" w:hAnsi="仿宋" w:eastAsia="仿宋" w:cs="仿宋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</w:rPr>
              <w:t>2500</w:t>
            </w:r>
          </w:p>
        </w:tc>
      </w:tr>
      <w:tr w14:paraId="5DDC19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  <w:jc w:val="center"/>
        </w:trPr>
        <w:tc>
          <w:tcPr>
            <w:tcW w:w="468" w:type="pct"/>
            <w:vAlign w:val="center"/>
          </w:tcPr>
          <w:p w14:paraId="2D70C614">
            <w:pPr>
              <w:pageBreakBefore w:val="0"/>
              <w:topLinePunct w:val="0"/>
              <w:bidi w:val="0"/>
              <w:spacing w:line="540" w:lineRule="exact"/>
              <w:jc w:val="center"/>
              <w:rPr>
                <w:rFonts w:hint="eastAsia" w:ascii="仿宋" w:hAnsi="仿宋" w:eastAsia="仿宋" w:cs="仿宋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highlight w:val="none"/>
              </w:rPr>
              <w:t>2</w:t>
            </w:r>
          </w:p>
        </w:tc>
        <w:tc>
          <w:tcPr>
            <w:tcW w:w="3018" w:type="dxa"/>
            <w:vAlign w:val="center"/>
          </w:tcPr>
          <w:p w14:paraId="0307E25D">
            <w:pPr>
              <w:pageBreakBefore w:val="0"/>
              <w:topLinePunct w:val="0"/>
              <w:bidi w:val="0"/>
              <w:spacing w:line="540" w:lineRule="exact"/>
              <w:jc w:val="center"/>
              <w:rPr>
                <w:rFonts w:hint="eastAsia" w:ascii="仿宋" w:hAnsi="仿宋" w:eastAsia="仿宋" w:cs="仿宋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</w:rPr>
              <w:t>附加研学旅行保险</w:t>
            </w:r>
          </w:p>
        </w:tc>
        <w:tc>
          <w:tcPr>
            <w:tcW w:w="1401" w:type="dxa"/>
            <w:vAlign w:val="center"/>
          </w:tcPr>
          <w:p w14:paraId="1898C82C">
            <w:pPr>
              <w:pageBreakBefore w:val="0"/>
              <w:topLinePunct w:val="0"/>
              <w:bidi w:val="0"/>
              <w:spacing w:line="540" w:lineRule="exact"/>
              <w:jc w:val="center"/>
              <w:rPr>
                <w:rFonts w:hint="eastAsia" w:ascii="仿宋" w:hAnsi="仿宋" w:eastAsia="仿宋" w:cs="仿宋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</w:rPr>
              <w:t>70</w:t>
            </w:r>
          </w:p>
        </w:tc>
        <w:tc>
          <w:tcPr>
            <w:tcW w:w="1642" w:type="dxa"/>
            <w:vAlign w:val="center"/>
          </w:tcPr>
          <w:p w14:paraId="74AAF968">
            <w:pPr>
              <w:pageBreakBefore w:val="0"/>
              <w:topLinePunct w:val="0"/>
              <w:bidi w:val="0"/>
              <w:spacing w:line="540" w:lineRule="exact"/>
              <w:jc w:val="center"/>
              <w:rPr>
                <w:rFonts w:hint="eastAsia" w:ascii="仿宋" w:hAnsi="仿宋" w:eastAsia="仿宋" w:cs="仿宋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</w:rPr>
              <w:t>800</w:t>
            </w:r>
          </w:p>
        </w:tc>
        <w:tc>
          <w:tcPr>
            <w:tcW w:w="1636" w:type="dxa"/>
            <w:vAlign w:val="center"/>
          </w:tcPr>
          <w:p w14:paraId="4FB78CF5">
            <w:pPr>
              <w:pageBreakBefore w:val="0"/>
              <w:topLinePunct w:val="0"/>
              <w:bidi w:val="0"/>
              <w:spacing w:line="540" w:lineRule="exact"/>
              <w:jc w:val="center"/>
              <w:rPr>
                <w:rFonts w:hint="eastAsia" w:ascii="仿宋" w:hAnsi="仿宋" w:eastAsia="仿宋" w:cs="仿宋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</w:rPr>
              <w:t>2500</w:t>
            </w:r>
          </w:p>
        </w:tc>
      </w:tr>
      <w:tr w14:paraId="4058CB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  <w:jc w:val="center"/>
        </w:trPr>
        <w:tc>
          <w:tcPr>
            <w:tcW w:w="468" w:type="pct"/>
            <w:vAlign w:val="center"/>
          </w:tcPr>
          <w:p w14:paraId="5E0FC99E">
            <w:pPr>
              <w:pageBreakBefore w:val="0"/>
              <w:topLinePunct w:val="0"/>
              <w:bidi w:val="0"/>
              <w:spacing w:line="540" w:lineRule="exact"/>
              <w:jc w:val="center"/>
              <w:rPr>
                <w:rFonts w:hint="eastAsia" w:ascii="仿宋" w:hAnsi="仿宋" w:eastAsia="仿宋" w:cs="仿宋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highlight w:val="none"/>
              </w:rPr>
              <w:t>3</w:t>
            </w:r>
          </w:p>
        </w:tc>
        <w:tc>
          <w:tcPr>
            <w:tcW w:w="3018" w:type="dxa"/>
            <w:vAlign w:val="center"/>
          </w:tcPr>
          <w:p w14:paraId="57523A99">
            <w:pPr>
              <w:pageBreakBefore w:val="0"/>
              <w:topLinePunct w:val="0"/>
              <w:bidi w:val="0"/>
              <w:spacing w:line="540" w:lineRule="exact"/>
              <w:jc w:val="center"/>
              <w:rPr>
                <w:rFonts w:hint="eastAsia" w:ascii="仿宋" w:hAnsi="仿宋" w:eastAsia="仿宋" w:cs="仿宋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</w:rPr>
              <w:t>附加境外活动责任保险</w:t>
            </w:r>
          </w:p>
        </w:tc>
        <w:tc>
          <w:tcPr>
            <w:tcW w:w="1401" w:type="dxa"/>
            <w:vAlign w:val="center"/>
          </w:tcPr>
          <w:p w14:paraId="4714E6B4">
            <w:pPr>
              <w:pageBreakBefore w:val="0"/>
              <w:topLinePunct w:val="0"/>
              <w:bidi w:val="0"/>
              <w:spacing w:line="540" w:lineRule="exact"/>
              <w:jc w:val="center"/>
              <w:rPr>
                <w:rFonts w:hint="eastAsia" w:ascii="仿宋" w:hAnsi="仿宋" w:eastAsia="仿宋" w:cs="仿宋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</w:rPr>
              <w:t>70</w:t>
            </w:r>
          </w:p>
        </w:tc>
        <w:tc>
          <w:tcPr>
            <w:tcW w:w="1642" w:type="dxa"/>
            <w:vAlign w:val="center"/>
          </w:tcPr>
          <w:p w14:paraId="75E090FF">
            <w:pPr>
              <w:pageBreakBefore w:val="0"/>
              <w:topLinePunct w:val="0"/>
              <w:bidi w:val="0"/>
              <w:spacing w:line="540" w:lineRule="exact"/>
              <w:jc w:val="center"/>
              <w:rPr>
                <w:rFonts w:hint="eastAsia" w:ascii="仿宋" w:hAnsi="仿宋" w:eastAsia="仿宋" w:cs="仿宋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</w:rPr>
              <w:t>800</w:t>
            </w:r>
          </w:p>
        </w:tc>
        <w:tc>
          <w:tcPr>
            <w:tcW w:w="1636" w:type="dxa"/>
            <w:vAlign w:val="center"/>
          </w:tcPr>
          <w:p w14:paraId="593BFD47">
            <w:pPr>
              <w:pageBreakBefore w:val="0"/>
              <w:topLinePunct w:val="0"/>
              <w:bidi w:val="0"/>
              <w:spacing w:line="540" w:lineRule="exact"/>
              <w:jc w:val="center"/>
              <w:rPr>
                <w:rFonts w:hint="eastAsia" w:ascii="仿宋" w:hAnsi="仿宋" w:eastAsia="仿宋" w:cs="仿宋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</w:rPr>
              <w:t>2500</w:t>
            </w:r>
          </w:p>
        </w:tc>
      </w:tr>
      <w:tr w14:paraId="3F7FD1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  <w:jc w:val="center"/>
        </w:trPr>
        <w:tc>
          <w:tcPr>
            <w:tcW w:w="468" w:type="pct"/>
            <w:vAlign w:val="center"/>
          </w:tcPr>
          <w:p w14:paraId="2B277135">
            <w:pPr>
              <w:pageBreakBefore w:val="0"/>
              <w:topLinePunct w:val="0"/>
              <w:bidi w:val="0"/>
              <w:spacing w:line="540" w:lineRule="exact"/>
              <w:jc w:val="center"/>
              <w:rPr>
                <w:rFonts w:hint="eastAsia" w:ascii="仿宋" w:hAnsi="仿宋" w:eastAsia="仿宋" w:cs="仿宋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highlight w:val="none"/>
              </w:rPr>
              <w:t>4</w:t>
            </w:r>
          </w:p>
        </w:tc>
        <w:tc>
          <w:tcPr>
            <w:tcW w:w="3018" w:type="dxa"/>
            <w:vAlign w:val="center"/>
          </w:tcPr>
          <w:p w14:paraId="3AFB5A2D">
            <w:pPr>
              <w:pageBreakBefore w:val="0"/>
              <w:topLinePunct w:val="0"/>
              <w:bidi w:val="0"/>
              <w:spacing w:line="540" w:lineRule="exact"/>
              <w:jc w:val="center"/>
              <w:rPr>
                <w:rFonts w:hint="eastAsia" w:ascii="仿宋" w:hAnsi="仿宋" w:eastAsia="仿宋" w:cs="仿宋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</w:rPr>
              <w:t>附加无过失责任保险</w:t>
            </w:r>
          </w:p>
        </w:tc>
        <w:tc>
          <w:tcPr>
            <w:tcW w:w="1401" w:type="dxa"/>
            <w:vAlign w:val="center"/>
          </w:tcPr>
          <w:p w14:paraId="38D14486">
            <w:pPr>
              <w:pageBreakBefore w:val="0"/>
              <w:topLinePunct w:val="0"/>
              <w:bidi w:val="0"/>
              <w:spacing w:line="540" w:lineRule="exact"/>
              <w:jc w:val="center"/>
              <w:rPr>
                <w:rFonts w:hint="eastAsia" w:ascii="仿宋" w:hAnsi="仿宋" w:eastAsia="仿宋" w:cs="仿宋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</w:rPr>
              <w:t>20</w:t>
            </w:r>
          </w:p>
        </w:tc>
        <w:tc>
          <w:tcPr>
            <w:tcW w:w="1642" w:type="dxa"/>
            <w:vAlign w:val="center"/>
          </w:tcPr>
          <w:p w14:paraId="09D3C627">
            <w:pPr>
              <w:pageBreakBefore w:val="0"/>
              <w:topLinePunct w:val="0"/>
              <w:bidi w:val="0"/>
              <w:spacing w:line="540" w:lineRule="exact"/>
              <w:jc w:val="center"/>
              <w:rPr>
                <w:rFonts w:hint="eastAsia" w:ascii="仿宋" w:hAnsi="仿宋" w:eastAsia="仿宋" w:cs="仿宋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</w:rPr>
              <w:t>300</w:t>
            </w:r>
          </w:p>
        </w:tc>
        <w:tc>
          <w:tcPr>
            <w:tcW w:w="1636" w:type="dxa"/>
            <w:vAlign w:val="center"/>
          </w:tcPr>
          <w:p w14:paraId="06BDF4A6">
            <w:pPr>
              <w:pageBreakBefore w:val="0"/>
              <w:topLinePunct w:val="0"/>
              <w:bidi w:val="0"/>
              <w:spacing w:line="540" w:lineRule="exact"/>
              <w:jc w:val="center"/>
              <w:rPr>
                <w:rFonts w:hint="eastAsia" w:ascii="仿宋" w:hAnsi="仿宋" w:eastAsia="仿宋" w:cs="仿宋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</w:rPr>
              <w:t>800</w:t>
            </w:r>
          </w:p>
        </w:tc>
      </w:tr>
    </w:tbl>
    <w:p w14:paraId="1E33EA65">
      <w:pPr>
        <w:pStyle w:val="11"/>
        <w:pageBreakBefore w:val="0"/>
        <w:topLinePunct w:val="0"/>
        <w:bidi w:val="0"/>
        <w:spacing w:line="540" w:lineRule="exact"/>
        <w:ind w:firstLineChars="0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投保费用：13元/人/学年，人数约18567人。</w:t>
      </w:r>
    </w:p>
    <w:p w14:paraId="68F3217C">
      <w:pPr>
        <w:pStyle w:val="11"/>
        <w:pageBreakBefore w:val="0"/>
        <w:topLinePunct w:val="0"/>
        <w:bidi w:val="0"/>
        <w:spacing w:line="540" w:lineRule="exact"/>
        <w:ind w:firstLineChars="0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2.赔付时间要求：涉及甲方责任引发事故，赔付金额1000元及以下，15个工作日赔付到位；赔付金额在1万元及以下，20个工作日赔付到位；赔付金额20万及以下，30个工作日赔付到位；20万以上资金，赔付时间不得超过两个月。</w:t>
      </w:r>
    </w:p>
    <w:p w14:paraId="01229DA5">
      <w:pPr>
        <w:pStyle w:val="11"/>
        <w:pageBreakBefore w:val="0"/>
        <w:topLinePunct w:val="0"/>
        <w:bidi w:val="0"/>
        <w:spacing w:line="540" w:lineRule="exact"/>
        <w:ind w:firstLineChars="0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3.保险期间内，因为学生休学复学等特殊情况造成人员变化，按月变更学生信息，确保保险人2026-2027学年所有在籍在校学生都可享受保险服务，保险人同意不增减保险费。</w:t>
      </w:r>
    </w:p>
    <w:p w14:paraId="75F3BFDC">
      <w:pPr>
        <w:pageBreakBefore w:val="0"/>
        <w:topLinePunct w:val="0"/>
        <w:bidi w:val="0"/>
        <w:spacing w:line="540" w:lineRule="exact"/>
        <w:ind w:left="480"/>
        <w:rPr>
          <w:rFonts w:hint="eastAsia" w:ascii="仿宋" w:hAnsi="仿宋" w:eastAsia="仿宋" w:cs="仿宋"/>
          <w:b/>
          <w:bCs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highlight w:val="none"/>
        </w:rPr>
        <w:t>二、商务要求</w:t>
      </w:r>
    </w:p>
    <w:p w14:paraId="4266442D">
      <w:pPr>
        <w:pageBreakBefore w:val="0"/>
        <w:topLinePunct w:val="0"/>
        <w:bidi w:val="0"/>
        <w:spacing w:line="540" w:lineRule="exact"/>
        <w:ind w:left="482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（一）保险期限：2026年9月1日至2027年8月31日。</w:t>
      </w:r>
    </w:p>
    <w:p w14:paraId="6EC95F55">
      <w:pPr>
        <w:pageBreakBefore w:val="0"/>
        <w:topLinePunct w:val="0"/>
        <w:bidi w:val="0"/>
        <w:spacing w:line="540" w:lineRule="exact"/>
        <w:ind w:left="482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 xml:space="preserve">（二）地点：采购人指定地点。 </w:t>
      </w:r>
    </w:p>
    <w:p w14:paraId="4B6B9D95">
      <w:pPr>
        <w:pageBreakBefore w:val="0"/>
        <w:topLinePunct w:val="0"/>
        <w:bidi w:val="0"/>
        <w:spacing w:line="540" w:lineRule="exact"/>
        <w:ind w:left="482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（三）质保期及质保金：无。</w:t>
      </w:r>
    </w:p>
    <w:p w14:paraId="1D68A67E">
      <w:pPr>
        <w:pageBreakBefore w:val="0"/>
        <w:topLinePunct w:val="0"/>
        <w:bidi w:val="0"/>
        <w:spacing w:line="540" w:lineRule="exact"/>
        <w:ind w:left="482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（四）履约保证金的缴纳与退还：合同签订前需缴纳履约保证金，合同履行完成退还履约保证金。</w:t>
      </w:r>
    </w:p>
    <w:p w14:paraId="65FC3307">
      <w:pPr>
        <w:pageBreakBefore w:val="0"/>
        <w:topLinePunct w:val="0"/>
        <w:bidi w:val="0"/>
        <w:spacing w:line="540" w:lineRule="exact"/>
        <w:ind w:left="482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（五）付款时间、付款额度及付款方式：付款资金由甲方确定学生信息后，乙方出具保单和发票，甲方一次性转账至乙方提供账户。</w:t>
      </w:r>
    </w:p>
    <w:p w14:paraId="4463670C">
      <w:pPr>
        <w:pageBreakBefore w:val="0"/>
        <w:topLinePunct w:val="0"/>
        <w:bidi w:val="0"/>
        <w:spacing w:line="540" w:lineRule="exact"/>
        <w:ind w:left="482"/>
        <w:rPr>
          <w:rFonts w:hint="eastAsia" w:ascii="仿宋" w:hAnsi="仿宋" w:eastAsia="仿宋" w:cs="仿宋"/>
          <w:highlight w:val="none"/>
        </w:rPr>
        <w:sectPr>
          <w:pgSz w:w="11906" w:h="16838"/>
          <w:pgMar w:top="1304" w:right="1361" w:bottom="1304" w:left="1361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numberInDash"/>
          <w:cols w:space="720" w:num="1"/>
          <w:docGrid w:type="lines" w:linePitch="312" w:charSpace="0"/>
        </w:sect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（六）售后服务：对于售卖后出现的质量问题，供货商必须遵循采购商签订的合同履约。</w:t>
      </w:r>
      <w:bookmarkStart w:id="0" w:name="_GoBack"/>
      <w:bookmarkEnd w:id="0"/>
    </w:p>
    <w:p w14:paraId="433AA4D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1145B36"/>
    <w:multiLevelType w:val="multilevel"/>
    <w:tmpl w:val="41145B36"/>
    <w:lvl w:ilvl="0" w:tentative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575" w:hanging="575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864" w:hanging="864"/>
      </w:pPr>
      <w:rPr>
        <w:rFonts w:hint="default"/>
      </w:rPr>
    </w:lvl>
    <w:lvl w:ilvl="4" w:tentative="0">
      <w:start w:val="1"/>
      <w:numFmt w:val="decimal"/>
      <w:pStyle w:val="6"/>
      <w:lvlText w:val="%1.%2.%3.%4.%5."/>
      <w:lvlJc w:val="left"/>
      <w:pPr>
        <w:ind w:left="1008" w:hanging="1008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51" w:hanging="1151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96" w:hanging="1296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83" w:hanging="1583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E3405EB"/>
    <w:rsid w:val="030C1886"/>
    <w:rsid w:val="19AF58F2"/>
    <w:rsid w:val="36AB3F5A"/>
    <w:rsid w:val="49FD5698"/>
    <w:rsid w:val="4CAB1FBC"/>
    <w:rsid w:val="4E3405EB"/>
    <w:rsid w:val="4F1C53DA"/>
    <w:rsid w:val="4FAA0449"/>
    <w:rsid w:val="53AF1317"/>
    <w:rsid w:val="547A32A8"/>
    <w:rsid w:val="571E5A7A"/>
    <w:rsid w:val="57564E5B"/>
    <w:rsid w:val="590A7D98"/>
    <w:rsid w:val="5E7008FF"/>
    <w:rsid w:val="60A83EE4"/>
    <w:rsid w:val="63976673"/>
    <w:rsid w:val="69324368"/>
    <w:rsid w:val="6F505734"/>
    <w:rsid w:val="70655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after="330" w:afterLines="0" w:line="360" w:lineRule="auto"/>
      <w:jc w:val="center"/>
      <w:outlineLvl w:val="0"/>
    </w:pPr>
    <w:rPr>
      <w:rFonts w:eastAsia="仿宋" w:asciiTheme="minorAscii" w:hAnsiTheme="minorAscii"/>
      <w:b/>
      <w:kern w:val="44"/>
      <w:sz w:val="36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="20" w:after="20" w:line="360" w:lineRule="auto"/>
      <w:jc w:val="center"/>
      <w:outlineLvl w:val="1"/>
    </w:pPr>
    <w:rPr>
      <w:rFonts w:ascii="仿宋" w:hAnsi="仿宋" w:eastAsia="仿宋" w:cs="Times New Roman"/>
      <w:b/>
      <w:sz w:val="28"/>
      <w:szCs w:val="20"/>
    </w:rPr>
  </w:style>
  <w:style w:type="paragraph" w:styleId="4">
    <w:name w:val="heading 3"/>
    <w:basedOn w:val="1"/>
    <w:next w:val="1"/>
    <w:link w:val="10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ind w:leftChars="100"/>
      <w:outlineLvl w:val="2"/>
    </w:pPr>
    <w:rPr>
      <w:rFonts w:ascii="Times New Roman" w:hAnsi="Times New Roman" w:eastAsia="仿宋" w:cs="Times New Roman"/>
      <w:b/>
      <w:sz w:val="30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adjustRightInd w:val="0"/>
      <w:spacing w:before="280" w:after="290" w:line="240" w:lineRule="auto"/>
      <w:textAlignment w:val="baseline"/>
      <w:outlineLvl w:val="3"/>
    </w:pPr>
    <w:rPr>
      <w:rFonts w:ascii="Arial" w:hAnsi="Arial" w:eastAsia="仿宋"/>
      <w:spacing w:val="20"/>
      <w:kern w:val="0"/>
      <w:sz w:val="20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240" w:lineRule="auto"/>
      <w:ind w:left="1008" w:hanging="1008"/>
      <w:outlineLvl w:val="4"/>
    </w:pPr>
    <w:rPr>
      <w:rFonts w:eastAsia="仿宋" w:asciiTheme="minorAscii" w:hAnsiTheme="minorAscii"/>
      <w:sz w:val="20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spacing w:before="240" w:beforeLines="0" w:beforeAutospacing="0" w:after="64" w:afterLines="0" w:afterAutospacing="0" w:line="317" w:lineRule="auto"/>
      <w:outlineLvl w:val="5"/>
    </w:pPr>
    <w:rPr>
      <w:rFonts w:ascii="Arial" w:hAnsi="Arial" w:eastAsia="仿宋" w:cs="Times New Roman"/>
      <w:sz w:val="24"/>
      <w:szCs w:val="22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标题 3 Char"/>
    <w:link w:val="4"/>
    <w:qFormat/>
    <w:uiPriority w:val="0"/>
    <w:rPr>
      <w:rFonts w:ascii="Times New Roman" w:hAnsi="Times New Roman" w:eastAsia="仿宋" w:cs="Times New Roman"/>
      <w:b/>
      <w:sz w:val="30"/>
    </w:rPr>
  </w:style>
  <w:style w:type="paragraph" w:customStyle="1" w:styleId="11">
    <w:name w:val="List Paragraph1"/>
    <w:qFormat/>
    <w:uiPriority w:val="99"/>
    <w:pPr>
      <w:ind w:firstLine="420" w:firstLineChars="200"/>
    </w:pPr>
    <w:rPr>
      <w:rFonts w:ascii="Times New Roman" w:hAnsi="Times New Roman" w:eastAsia="宋体" w:cs="Times New Roman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2026-06-12T11:35:00Z</dcterms:created>
  <dc:creator>德仁-赵璐</dc:creator>
  <cp:lastModifiedBy>德仁-赵璐</cp:lastModifiedBy>
  <dcterms:modified xsi:type="dcterms:W3CDTF">2026-06-12T11:35:49Z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8AD109E67B6A48F7AFA9E1640F23A6C0_11</vt:lpwstr>
  </property>
  <property fmtid="{D5CDD505-2E9C-101B-9397-08002B2CF9AE}" pid="4" name="KSOTemplateDocerSaveRecord">
    <vt:lpwstr>eyJoZGlkIjoiZDQwNTY2N2MwMTc3ZDM5NDMxMThiYTljNWNkZTdmNDEifQ==</vt:lpwstr>
  </property>
</Properties>
</file>