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版本号：ZX2026-06-9320260701001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支队餐饮服务管理项目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ZX2026-06-93</w:t>
      </w:r>
      <w:r>
        <w:br/>
      </w:r>
      <w:r>
        <w:br/>
      </w:r>
      <w:r>
        <w:br/>
      </w:r>
    </w:p>
    <w:p>
      <w:pPr>
        <w:pStyle w:val="null3"/>
        <w:jc w:val="center"/>
        <w:outlineLvl w:val="2"/>
      </w:pPr>
      <w:r>
        <w:rPr>
          <w:rFonts w:ascii="仿宋_GB2312" w:hAnsi="仿宋_GB2312" w:cs="仿宋_GB2312" w:eastAsia="仿宋_GB2312"/>
          <w:sz w:val="28"/>
          <w:b/>
        </w:rPr>
        <w:t>西安市工商行政管理局旅游市场监督管理分局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西安市工商行政管理局旅游市场监督管理分局</w:t>
      </w:r>
      <w:r>
        <w:rPr>
          <w:rFonts w:ascii="仿宋_GB2312" w:hAnsi="仿宋_GB2312" w:cs="仿宋_GB2312" w:eastAsia="仿宋_GB2312"/>
        </w:rPr>
        <w:t>委托，拟对</w:t>
      </w:r>
      <w:r>
        <w:rPr>
          <w:rFonts w:ascii="仿宋_GB2312" w:hAnsi="仿宋_GB2312" w:cs="仿宋_GB2312" w:eastAsia="仿宋_GB2312"/>
        </w:rPr>
        <w:t>支队餐饮服务管理项目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ZX2026-06-93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支队餐饮服务管理项目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支队餐饮服务管理项目，1项，具体内容详见磋商文件第三章。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采购包1（支队餐饮服务管理）：属于专门面向中小企业采购。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pPr>
      <w:r>
        <w:rPr>
          <w:rFonts w:ascii="仿宋_GB2312" w:hAnsi="仿宋_GB2312" w:cs="仿宋_GB2312" w:eastAsia="仿宋_GB2312"/>
        </w:rPr>
        <w:t>3、食品经营许可证：供应商须提供有效期内的《食品经营许可证》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西安市工商行政管理局旅游市场监督管理分局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陕西省西安市友谊东路298号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029-87823022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李雨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西安市工商行政管理局旅游市场监督管理分局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西安市工商行政管理局旅游市场监督管理分局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西安市工商行政管理局旅游市场监督管理分局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按照磋商文件、成交供应商响应文件和合同文本执行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联系人：崔文 梁文龙</w:t>
      </w:r>
    </w:p>
    <w:p>
      <w:pPr>
        <w:pStyle w:val="null3"/>
      </w:pPr>
      <w:r>
        <w:rPr>
          <w:rFonts w:ascii="仿宋_GB2312" w:hAnsi="仿宋_GB2312" w:cs="仿宋_GB2312" w:eastAsia="仿宋_GB2312"/>
        </w:rPr>
        <w:t>联系电话：邮箱1731831774@qq.com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支队餐饮服务管理项目，1项，具体内容详见磋商文件第三章。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1,790,000.00</w:t>
      </w:r>
    </w:p>
    <w:p>
      <w:pPr>
        <w:pStyle w:val="null3"/>
      </w:pPr>
      <w:r>
        <w:rPr>
          <w:rFonts w:ascii="仿宋_GB2312" w:hAnsi="仿宋_GB2312" w:cs="仿宋_GB2312" w:eastAsia="仿宋_GB2312"/>
        </w:rPr>
        <w:t>采购包最高限价（元）: 1,790,000.00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服务内容</w:t>
            </w:r>
          </w:p>
          <w:p>
            <w:pPr>
              <w:pStyle w:val="null3"/>
            </w:pPr>
            <w:r>
              <w:rPr>
                <w:rFonts w:ascii="仿宋_GB2312" w:hAnsi="仿宋_GB2312" w:cs="仿宋_GB2312" w:eastAsia="仿宋_GB2312"/>
              </w:rPr>
              <w:t>（一）餐饮服务区域：西安市碑林区友谊东路</w:t>
            </w:r>
            <w:r>
              <w:rPr>
                <w:rFonts w:ascii="仿宋_GB2312" w:hAnsi="仿宋_GB2312" w:cs="仿宋_GB2312" w:eastAsia="仿宋_GB2312"/>
              </w:rPr>
              <w:t>298号办公楼食堂</w:t>
            </w:r>
          </w:p>
          <w:p>
            <w:pPr>
              <w:pStyle w:val="null3"/>
            </w:pPr>
            <w:r>
              <w:rPr>
                <w:rFonts w:ascii="仿宋_GB2312" w:hAnsi="仿宋_GB2312" w:cs="仿宋_GB2312" w:eastAsia="仿宋_GB2312"/>
              </w:rPr>
              <w:t>1、提供日常约280人的工作餐的食材采购、加工、制作；</w:t>
            </w:r>
          </w:p>
          <w:p>
            <w:pPr>
              <w:pStyle w:val="null3"/>
            </w:pPr>
            <w:r>
              <w:rPr>
                <w:rFonts w:ascii="仿宋_GB2312" w:hAnsi="仿宋_GB2312" w:cs="仿宋_GB2312" w:eastAsia="仿宋_GB2312"/>
              </w:rPr>
              <w:t>2、餐厅所辖区域卫生清洁服务；</w:t>
            </w:r>
          </w:p>
          <w:p>
            <w:pPr>
              <w:pStyle w:val="null3"/>
            </w:pPr>
            <w:r>
              <w:rPr>
                <w:rFonts w:ascii="仿宋_GB2312" w:hAnsi="仿宋_GB2312" w:cs="仿宋_GB2312" w:eastAsia="仿宋_GB2312"/>
              </w:rPr>
              <w:t>3、餐厅所辖区域各类设备、设施安全运行。</w:t>
            </w:r>
          </w:p>
          <w:p>
            <w:pPr>
              <w:pStyle w:val="null3"/>
            </w:pPr>
            <w:r>
              <w:rPr>
                <w:rFonts w:ascii="仿宋_GB2312" w:hAnsi="仿宋_GB2312" w:cs="仿宋_GB2312" w:eastAsia="仿宋_GB2312"/>
              </w:rPr>
              <w:t>（二）供餐内容及要求</w:t>
            </w:r>
          </w:p>
          <w:p>
            <w:pPr>
              <w:pStyle w:val="null3"/>
            </w:pPr>
            <w:r>
              <w:rPr>
                <w:rFonts w:ascii="仿宋_GB2312" w:hAnsi="仿宋_GB2312" w:cs="仿宋_GB2312" w:eastAsia="仿宋_GB2312"/>
              </w:rPr>
              <w:t>1、供餐模式：自助式；</w:t>
            </w:r>
          </w:p>
          <w:p>
            <w:pPr>
              <w:pStyle w:val="null3"/>
            </w:pPr>
            <w:r>
              <w:rPr>
                <w:rFonts w:ascii="仿宋_GB2312" w:hAnsi="仿宋_GB2312" w:cs="仿宋_GB2312" w:eastAsia="仿宋_GB2312"/>
              </w:rPr>
              <w:t>2、供餐时间：工作日早中两餐；</w:t>
            </w:r>
          </w:p>
          <w:p>
            <w:pPr>
              <w:pStyle w:val="null3"/>
            </w:pPr>
            <w:r>
              <w:rPr>
                <w:rFonts w:ascii="仿宋_GB2312" w:hAnsi="仿宋_GB2312" w:cs="仿宋_GB2312" w:eastAsia="仿宋_GB2312"/>
              </w:rPr>
              <w:t>早餐供应时间：</w:t>
            </w:r>
            <w:r>
              <w:rPr>
                <w:rFonts w:ascii="仿宋_GB2312" w:hAnsi="仿宋_GB2312" w:cs="仿宋_GB2312" w:eastAsia="仿宋_GB2312"/>
              </w:rPr>
              <w:t>8:10——8:50；</w:t>
            </w:r>
          </w:p>
          <w:p>
            <w:pPr>
              <w:pStyle w:val="null3"/>
            </w:pPr>
            <w:r>
              <w:rPr>
                <w:rFonts w:ascii="仿宋_GB2312" w:hAnsi="仿宋_GB2312" w:cs="仿宋_GB2312" w:eastAsia="仿宋_GB2312"/>
              </w:rPr>
              <w:t>午餐供应时间：</w:t>
            </w:r>
            <w:r>
              <w:rPr>
                <w:rFonts w:ascii="仿宋_GB2312" w:hAnsi="仿宋_GB2312" w:cs="仿宋_GB2312" w:eastAsia="仿宋_GB2312"/>
              </w:rPr>
              <w:t>12:00——13:00；</w:t>
            </w:r>
          </w:p>
          <w:p>
            <w:pPr>
              <w:pStyle w:val="null3"/>
            </w:pPr>
            <w:r>
              <w:rPr>
                <w:rFonts w:ascii="仿宋_GB2312" w:hAnsi="仿宋_GB2312" w:cs="仿宋_GB2312" w:eastAsia="仿宋_GB2312"/>
              </w:rPr>
              <w:t>3、</w:t>
            </w:r>
            <w:r>
              <w:rPr>
                <w:rFonts w:ascii="仿宋_GB2312" w:hAnsi="仿宋_GB2312" w:cs="仿宋_GB2312" w:eastAsia="仿宋_GB2312"/>
              </w:rPr>
              <w:t>供餐内容</w:t>
            </w:r>
          </w:p>
          <w:p>
            <w:pPr>
              <w:pStyle w:val="null3"/>
            </w:pPr>
            <w:r>
              <w:rPr>
                <w:rFonts w:ascii="仿宋_GB2312" w:hAnsi="仿宋_GB2312" w:cs="仿宋_GB2312" w:eastAsia="仿宋_GB2312"/>
              </w:rPr>
              <w:t>（</w:t>
            </w:r>
            <w:r>
              <w:rPr>
                <w:rFonts w:ascii="仿宋_GB2312" w:hAnsi="仿宋_GB2312" w:cs="仿宋_GB2312" w:eastAsia="仿宋_GB2312"/>
              </w:rPr>
              <w:t>1）早餐供应：菜品不少于4种，开胃小菜不少于2种，馒头、包子、花卷、油饼、油条等主食不少于2种，稀饭、豆腐脑、豆浆、牛奶、油茶、胡辣汤等汤品类主食不少于2种，煮鸡蛋、茶叶蛋、煎鸡蛋每日早餐不少于两种；</w:t>
            </w:r>
          </w:p>
          <w:p>
            <w:pPr>
              <w:pStyle w:val="null3"/>
            </w:pPr>
            <w:r>
              <w:rPr>
                <w:rFonts w:ascii="仿宋_GB2312" w:hAnsi="仿宋_GB2312" w:cs="仿宋_GB2312" w:eastAsia="仿宋_GB2312"/>
              </w:rPr>
              <w:t>（</w:t>
            </w:r>
            <w:r>
              <w:rPr>
                <w:rFonts w:ascii="仿宋_GB2312" w:hAnsi="仿宋_GB2312" w:cs="仿宋_GB2312" w:eastAsia="仿宋_GB2312"/>
              </w:rPr>
              <w:t>2）午餐供应：炒菜菜品不少于4种（其中纯荤菜1种、荤素搭配菜2种、素菜1种），杂粮不少于1种，中西点不少于1种，主食不少于2种、 汤品不少于2种、水果或酸奶不少于1种。法定节假日根据甲方需求提供不少于30人的工作餐（早餐和午餐）；</w:t>
            </w:r>
          </w:p>
          <w:p>
            <w:pPr>
              <w:pStyle w:val="null3"/>
            </w:pPr>
            <w:r>
              <w:rPr>
                <w:rFonts w:ascii="仿宋_GB2312" w:hAnsi="仿宋_GB2312" w:cs="仿宋_GB2312" w:eastAsia="仿宋_GB2312"/>
              </w:rPr>
              <w:t>二、</w:t>
            </w:r>
            <w:r>
              <w:rPr>
                <w:rFonts w:ascii="仿宋_GB2312" w:hAnsi="仿宋_GB2312" w:cs="仿宋_GB2312" w:eastAsia="仿宋_GB2312"/>
              </w:rPr>
              <w:t>服务</w:t>
            </w:r>
            <w:r>
              <w:rPr>
                <w:rFonts w:ascii="仿宋_GB2312" w:hAnsi="仿宋_GB2312" w:cs="仿宋_GB2312" w:eastAsia="仿宋_GB2312"/>
              </w:rPr>
              <w:t>要求</w:t>
            </w:r>
          </w:p>
          <w:p>
            <w:pPr>
              <w:pStyle w:val="null3"/>
            </w:pPr>
            <w:r>
              <w:rPr>
                <w:rFonts w:ascii="仿宋_GB2312" w:hAnsi="仿宋_GB2312" w:cs="仿宋_GB2312" w:eastAsia="仿宋_GB2312"/>
              </w:rPr>
              <w:t>1</w:t>
            </w:r>
            <w:r>
              <w:rPr>
                <w:rFonts w:ascii="仿宋_GB2312" w:hAnsi="仿宋_GB2312" w:cs="仿宋_GB2312" w:eastAsia="仿宋_GB2312"/>
              </w:rPr>
              <w:t>、餐厅食材采购（包含主、副食等全部食材，调味品等，费用包含在服务费中，由供应商负责采购），食材和库房管理工作；</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、根据《财政部农业农村部国家乡村振兴局关于运用政府采购政策支持乡村产业振兴的通知》（财库〔</w:t>
            </w:r>
            <w:r>
              <w:rPr>
                <w:rFonts w:ascii="仿宋_GB2312" w:hAnsi="仿宋_GB2312" w:cs="仿宋_GB2312" w:eastAsia="仿宋_GB2312"/>
                <w:sz w:val="21"/>
              </w:rPr>
              <w:t>2021〕19号）要求，供应商应承诺食堂食材采购份额不低于10%通过脱贫地区农副产品网络销售平台（832平台）采购脱贫地区农副产品</w:t>
            </w:r>
            <w:r>
              <w:rPr>
                <w:rFonts w:ascii="仿宋_GB2312" w:hAnsi="仿宋_GB2312" w:cs="仿宋_GB2312" w:eastAsia="仿宋_GB2312"/>
                <w:sz w:val="21"/>
              </w:rPr>
              <w:t>。</w:t>
            </w:r>
          </w:p>
          <w:p>
            <w:pPr>
              <w:pStyle w:val="null3"/>
            </w:pPr>
            <w:r>
              <w:rPr>
                <w:rFonts w:ascii="仿宋_GB2312" w:hAnsi="仿宋_GB2312" w:cs="仿宋_GB2312" w:eastAsia="仿宋_GB2312"/>
              </w:rPr>
              <w:t>3</w:t>
            </w:r>
            <w:r>
              <w:rPr>
                <w:rFonts w:ascii="仿宋_GB2312" w:hAnsi="仿宋_GB2312" w:cs="仿宋_GB2312" w:eastAsia="仿宋_GB2312"/>
              </w:rPr>
              <w:t>、负责食堂食品卫生安全等工作；</w:t>
            </w:r>
          </w:p>
          <w:p>
            <w:pPr>
              <w:pStyle w:val="null3"/>
            </w:pPr>
            <w:r>
              <w:rPr>
                <w:rFonts w:ascii="仿宋_GB2312" w:hAnsi="仿宋_GB2312" w:cs="仿宋_GB2312" w:eastAsia="仿宋_GB2312"/>
              </w:rPr>
              <w:t>4</w:t>
            </w:r>
            <w:r>
              <w:rPr>
                <w:rFonts w:ascii="仿宋_GB2312" w:hAnsi="仿宋_GB2312" w:cs="仿宋_GB2312" w:eastAsia="仿宋_GB2312"/>
              </w:rPr>
              <w:t>、采购人负责场地内的水、电、气等能耗费用；</w:t>
            </w:r>
          </w:p>
          <w:p>
            <w:pPr>
              <w:pStyle w:val="null3"/>
            </w:pPr>
            <w:r>
              <w:rPr>
                <w:rFonts w:ascii="仿宋_GB2312" w:hAnsi="仿宋_GB2312" w:cs="仿宋_GB2312" w:eastAsia="仿宋_GB2312"/>
              </w:rPr>
              <w:t>5</w:t>
            </w:r>
            <w:r>
              <w:rPr>
                <w:rFonts w:ascii="仿宋_GB2312" w:hAnsi="仿宋_GB2312" w:cs="仿宋_GB2312" w:eastAsia="仿宋_GB2312"/>
              </w:rPr>
              <w:t>、饭菜的加工、制作要严格按照《国家食品安全法》要求进行，确保食品卫生安全。严格按安全操作规程使用、保管设备、设施。如饭菜质量出现食品卫生安全问题，要承担相应的法律责任。</w:t>
            </w:r>
          </w:p>
          <w:p>
            <w:pPr>
              <w:pStyle w:val="null3"/>
            </w:pPr>
            <w:r>
              <w:rPr>
                <w:rFonts w:ascii="仿宋_GB2312" w:hAnsi="仿宋_GB2312" w:cs="仿宋_GB2312" w:eastAsia="仿宋_GB2312"/>
              </w:rPr>
              <w:t>6、</w:t>
            </w:r>
            <w:r>
              <w:rPr>
                <w:rFonts w:ascii="仿宋_GB2312" w:hAnsi="仿宋_GB2312" w:cs="仿宋_GB2312" w:eastAsia="仿宋_GB2312"/>
              </w:rPr>
              <w:t>员工数量要求：</w:t>
            </w:r>
          </w:p>
          <w:tbl>
            <w:tblPr>
              <w:tblBorders>
                <w:top w:val="none" w:color="000000" w:sz="4"/>
                <w:left w:val="none" w:color="000000" w:sz="4"/>
                <w:bottom w:val="none" w:color="000000" w:sz="4"/>
                <w:right w:val="none" w:color="000000" w:sz="4"/>
                <w:insideH w:val="none"/>
                <w:insideV w:val="none"/>
              </w:tblBorders>
            </w:tblPr>
            <w:tblGrid>
              <w:gridCol w:w="420"/>
              <w:gridCol w:w="323"/>
              <w:gridCol w:w="1810"/>
            </w:tblGrid>
            <w:tr>
              <w:tc>
                <w:tcPr>
                  <w:tcW w:type="dxa" w:w="2553"/>
                  <w:gridSpan w:val="3"/>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19"/>
                    </w:rPr>
                    <w:t>餐厅人员岗位设置：</w:t>
                  </w:r>
                  <w:r>
                    <w:rPr>
                      <w:rFonts w:ascii="仿宋_GB2312" w:hAnsi="仿宋_GB2312" w:cs="仿宋_GB2312" w:eastAsia="仿宋_GB2312"/>
                      <w:sz w:val="19"/>
                    </w:rPr>
                    <w:t>机关餐厅人员，厨师需具备相应岗位证书</w:t>
                  </w:r>
                </w:p>
              </w:tc>
            </w:tr>
            <w:tr>
              <w:tc>
                <w:tcPr>
                  <w:tcW w:type="dxa" w:w="420"/>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厨师</w:t>
                  </w: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r>
                    <w:rPr>
                      <w:rFonts w:ascii="仿宋_GB2312" w:hAnsi="仿宋_GB2312" w:cs="仿宋_GB2312" w:eastAsia="仿宋_GB2312"/>
                      <w:sz w:val="19"/>
                    </w:rPr>
                    <w:t>人</w:t>
                  </w:r>
                </w:p>
              </w:tc>
              <w:tc>
                <w:tcPr>
                  <w:tcW w:type="dxa" w:w="181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19"/>
                    </w:rPr>
                    <w:t>派遣人员均具备有效的《健康证》，提供证书扫描件。</w:t>
                  </w:r>
                </w:p>
              </w:tc>
            </w:tr>
            <w:tr>
              <w:tc>
                <w:tcPr>
                  <w:tcW w:type="dxa" w:w="420"/>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服务员</w:t>
                  </w:r>
                </w:p>
              </w:tc>
              <w:tc>
                <w:tcPr>
                  <w:tcW w:type="dxa" w:w="32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r>
                    <w:rPr>
                      <w:rFonts w:ascii="仿宋_GB2312" w:hAnsi="仿宋_GB2312" w:cs="仿宋_GB2312" w:eastAsia="仿宋_GB2312"/>
                      <w:sz w:val="19"/>
                    </w:rPr>
                    <w:t>人</w:t>
                  </w:r>
                </w:p>
              </w:tc>
              <w:tc>
                <w:tcPr>
                  <w:tcW w:type="dxa" w:w="1810"/>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19"/>
                    </w:rPr>
                    <w:t>1、派遣人员均具备有效的《健康证》，提供证书扫描件。</w:t>
                  </w:r>
                </w:p>
                <w:p>
                  <w:pPr>
                    <w:pStyle w:val="null3"/>
                  </w:pPr>
                  <w:r>
                    <w:rPr>
                      <w:rFonts w:ascii="仿宋_GB2312" w:hAnsi="仿宋_GB2312" w:cs="仿宋_GB2312" w:eastAsia="仿宋_GB2312"/>
                      <w:sz w:val="19"/>
                    </w:rPr>
                    <w:t>2、</w:t>
                  </w:r>
                  <w:r>
                    <w:rPr>
                      <w:rFonts w:ascii="仿宋_GB2312" w:hAnsi="仿宋_GB2312" w:cs="仿宋_GB2312" w:eastAsia="仿宋_GB2312"/>
                      <w:sz w:val="19"/>
                    </w:rPr>
                    <w:t>女性，</w:t>
                  </w:r>
                  <w:r>
                    <w:rPr>
                      <w:rFonts w:ascii="仿宋_GB2312" w:hAnsi="仿宋_GB2312" w:cs="仿宋_GB2312" w:eastAsia="仿宋_GB2312"/>
                      <w:sz w:val="19"/>
                    </w:rPr>
                    <w:t>年龄</w:t>
                  </w:r>
                  <w:r>
                    <w:rPr>
                      <w:rFonts w:ascii="仿宋_GB2312" w:hAnsi="仿宋_GB2312" w:cs="仿宋_GB2312" w:eastAsia="仿宋_GB2312"/>
                      <w:sz w:val="19"/>
                    </w:rPr>
                    <w:t>4</w:t>
                  </w:r>
                  <w:r>
                    <w:rPr>
                      <w:rFonts w:ascii="仿宋_GB2312" w:hAnsi="仿宋_GB2312" w:cs="仿宋_GB2312" w:eastAsia="仿宋_GB2312"/>
                      <w:sz w:val="19"/>
                    </w:rPr>
                    <w:t>0岁以下。</w:t>
                  </w:r>
                </w:p>
              </w:tc>
            </w:tr>
          </w:tbl>
          <w:p>
            <w:pPr>
              <w:pStyle w:val="null3"/>
            </w:pPr>
            <w:r>
              <w:rPr>
                <w:rFonts w:ascii="仿宋_GB2312" w:hAnsi="仿宋_GB2312" w:cs="仿宋_GB2312" w:eastAsia="仿宋_GB2312"/>
              </w:rPr>
              <w:t>注：</w:t>
            </w:r>
            <w:r>
              <w:rPr>
                <w:rFonts w:ascii="仿宋_GB2312" w:hAnsi="仿宋_GB2312" w:cs="仿宋_GB2312" w:eastAsia="仿宋_GB2312"/>
              </w:rPr>
              <w:t>员工由中标服务商自行招聘，员工工资和社保、医保等福利待遇及意外保险等均由服务商承担。</w:t>
            </w:r>
          </w:p>
          <w:p>
            <w:pPr>
              <w:pStyle w:val="null3"/>
            </w:pPr>
            <w:r>
              <w:rPr>
                <w:rFonts w:ascii="仿宋_GB2312" w:hAnsi="仿宋_GB2312" w:cs="仿宋_GB2312" w:eastAsia="仿宋_GB2312"/>
              </w:rPr>
              <w:t>7、考核标准</w:t>
            </w:r>
          </w:p>
          <w:p>
            <w:pPr>
              <w:pStyle w:val="null3"/>
              <w:jc w:val="center"/>
            </w:pPr>
            <w:r>
              <w:rPr>
                <w:rFonts w:ascii="仿宋_GB2312" w:hAnsi="仿宋_GB2312" w:cs="仿宋_GB2312" w:eastAsia="仿宋_GB2312"/>
              </w:rPr>
              <w:t>餐饮服务指标</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食、品安全指标（</w:t>
            </w:r>
            <w:r>
              <w:rPr>
                <w:rFonts w:ascii="仿宋_GB2312" w:hAnsi="仿宋_GB2312" w:cs="仿宋_GB2312" w:eastAsia="仿宋_GB2312"/>
              </w:rPr>
              <w:t>35 分）</w:t>
            </w:r>
          </w:p>
          <w:p>
            <w:pPr>
              <w:pStyle w:val="null3"/>
            </w:pPr>
            <w:r>
              <w:rPr>
                <w:rFonts w:ascii="仿宋_GB2312" w:hAnsi="仿宋_GB2312" w:cs="仿宋_GB2312" w:eastAsia="仿宋_GB2312"/>
              </w:rPr>
              <w:t>1）食材安全（15 分）：检查食材采购渠道是否正规，有无供应商资质证明和食材检验检疫合格证明；食材储存条件是否符合要求，有无过期、变质食材。</w:t>
            </w:r>
          </w:p>
          <w:p>
            <w:pPr>
              <w:pStyle w:val="null3"/>
            </w:pPr>
            <w:r>
              <w:rPr>
                <w:rFonts w:ascii="仿宋_GB2312" w:hAnsi="仿宋_GB2312" w:cs="仿宋_GB2312" w:eastAsia="仿宋_GB2312"/>
              </w:rPr>
              <w:t>2）加工安全（15 分）：查看食品加工过程是否符合卫生规范，生熟食品是否分开加工储存，餐具是否严格消毒，食品留样是否规范。</w:t>
            </w:r>
          </w:p>
          <w:p>
            <w:pPr>
              <w:pStyle w:val="null3"/>
            </w:pPr>
            <w:r>
              <w:rPr>
                <w:rFonts w:ascii="仿宋_GB2312" w:hAnsi="仿宋_GB2312" w:cs="仿宋_GB2312" w:eastAsia="仿宋_GB2312"/>
              </w:rPr>
              <w:t>3）从业人员健康管理（5 分）：检查食堂工作人员是否持有有效健康证，是否定期进行健康检查，个人卫生是否符合要求。</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菜品质量指标（</w:t>
            </w:r>
            <w:r>
              <w:rPr>
                <w:rFonts w:ascii="仿宋_GB2312" w:hAnsi="仿宋_GB2312" w:cs="仿宋_GB2312" w:eastAsia="仿宋_GB2312"/>
              </w:rPr>
              <w:t>35 分）</w:t>
            </w:r>
          </w:p>
          <w:p>
            <w:pPr>
              <w:pStyle w:val="null3"/>
            </w:pPr>
            <w:r>
              <w:rPr>
                <w:rFonts w:ascii="仿宋_GB2312" w:hAnsi="仿宋_GB2312" w:cs="仿宋_GB2312" w:eastAsia="仿宋_GB2312"/>
              </w:rPr>
              <w:t>4）口味口感（15 分）：通过用餐人员问卷调查，了解菜品的咸淡、烹饪火候、口感等是否符合大众口味。</w:t>
            </w:r>
          </w:p>
          <w:p>
            <w:pPr>
              <w:pStyle w:val="null3"/>
            </w:pPr>
            <w:r>
              <w:rPr>
                <w:rFonts w:ascii="仿宋_GB2312" w:hAnsi="仿宋_GB2312" w:cs="仿宋_GB2312" w:eastAsia="仿宋_GB2312"/>
              </w:rPr>
              <w:t>5）营养搭配（10 分）：评估菜品的荤素搭配、营养均衡情况，是否能满足不同人群的营养需求。</w:t>
            </w:r>
          </w:p>
          <w:p>
            <w:pPr>
              <w:pStyle w:val="null3"/>
            </w:pPr>
            <w:r>
              <w:rPr>
                <w:rFonts w:ascii="仿宋_GB2312" w:hAnsi="仿宋_GB2312" w:cs="仿宋_GB2312" w:eastAsia="仿宋_GB2312"/>
              </w:rPr>
              <w:t>6）菜品创新（10分）：考察食堂是否定期推出新菜品，新菜品的受欢迎程度。</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服务质量指标（</w:t>
            </w:r>
            <w:r>
              <w:rPr>
                <w:rFonts w:ascii="仿宋_GB2312" w:hAnsi="仿宋_GB2312" w:cs="仿宋_GB2312" w:eastAsia="仿宋_GB2312"/>
              </w:rPr>
              <w:t>20 分）</w:t>
            </w:r>
          </w:p>
          <w:p>
            <w:pPr>
              <w:pStyle w:val="null3"/>
            </w:pPr>
            <w:r>
              <w:rPr>
                <w:rFonts w:ascii="仿宋_GB2312" w:hAnsi="仿宋_GB2312" w:cs="仿宋_GB2312" w:eastAsia="仿宋_GB2312"/>
              </w:rPr>
              <w:t>7）服务态度（10 分）：观察食堂工作人员的服务态度是否热情、耐心，能否及时响应和解决用餐人员的问题。</w:t>
            </w:r>
          </w:p>
          <w:p>
            <w:pPr>
              <w:pStyle w:val="null3"/>
            </w:pPr>
            <w:r>
              <w:rPr>
                <w:rFonts w:ascii="仿宋_GB2312" w:hAnsi="仿宋_GB2312" w:cs="仿宋_GB2312" w:eastAsia="仿宋_GB2312"/>
              </w:rPr>
              <w:t>8）服务效率（10 分）：检查就餐高峰期的服务效率，包括打餐速度、结账速度等，是否能减少用餐人员排队等待时间。</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就餐环境指标（</w:t>
            </w:r>
            <w:r>
              <w:rPr>
                <w:rFonts w:ascii="仿宋_GB2312" w:hAnsi="仿宋_GB2312" w:cs="仿宋_GB2312" w:eastAsia="仿宋_GB2312"/>
              </w:rPr>
              <w:t>10分）</w:t>
            </w:r>
          </w:p>
          <w:p>
            <w:pPr>
              <w:pStyle w:val="null3"/>
            </w:pPr>
            <w:r>
              <w:rPr>
                <w:rFonts w:ascii="仿宋_GB2312" w:hAnsi="仿宋_GB2312" w:cs="仿宋_GB2312" w:eastAsia="仿宋_GB2312"/>
              </w:rPr>
              <w:t>9）环境卫生（5 分）：检查食堂的地面、桌面、墙面是否清洁，有无垃圾杂物堆积，通风、照明是否良好。</w:t>
            </w:r>
          </w:p>
          <w:p>
            <w:pPr>
              <w:pStyle w:val="null3"/>
            </w:pPr>
            <w:r>
              <w:rPr>
                <w:rFonts w:ascii="仿宋_GB2312" w:hAnsi="仿宋_GB2312" w:cs="仿宋_GB2312" w:eastAsia="仿宋_GB2312"/>
              </w:rPr>
              <w:t>10）设施设备（5 分）：查看食堂的桌椅、餐具、空调、洗手设施等是否完好，能否正常使用。</w:t>
            </w:r>
          </w:p>
          <w:p>
            <w:pPr>
              <w:pStyle w:val="null3"/>
            </w:pPr>
            <w:r>
              <w:rPr>
                <w:rFonts w:ascii="仿宋_GB2312" w:hAnsi="仿宋_GB2312" w:cs="仿宋_GB2312" w:eastAsia="仿宋_GB2312"/>
              </w:rPr>
              <w:t>8、常规检查：</w:t>
            </w:r>
            <w:r>
              <w:rPr>
                <w:rFonts w:ascii="仿宋_GB2312" w:hAnsi="仿宋_GB2312" w:cs="仿宋_GB2312" w:eastAsia="仿宋_GB2312"/>
              </w:rPr>
              <w:t>管理部门每周至少进行</w:t>
            </w:r>
            <w:r>
              <w:rPr>
                <w:rFonts w:ascii="仿宋_GB2312" w:hAnsi="仿宋_GB2312" w:cs="仿宋_GB2312" w:eastAsia="仿宋_GB2312"/>
              </w:rPr>
              <w:t>1 次</w:t>
            </w:r>
            <w:r>
              <w:rPr>
                <w:rFonts w:ascii="仿宋_GB2312" w:hAnsi="仿宋_GB2312" w:cs="仿宋_GB2312" w:eastAsia="仿宋_GB2312"/>
              </w:rPr>
              <w:t>常规</w:t>
            </w:r>
            <w:r>
              <w:rPr>
                <w:rFonts w:ascii="仿宋_GB2312" w:hAnsi="仿宋_GB2312" w:cs="仿宋_GB2312" w:eastAsia="仿宋_GB2312"/>
              </w:rPr>
              <w:t>检查，重点检查食品安全、卫生状况、服务规范等方面，填写《日常检查表》，记录检查中发现的问题，并要求及时整改。</w:t>
            </w:r>
          </w:p>
          <w:p>
            <w:pPr>
              <w:pStyle w:val="null3"/>
            </w:pPr>
            <w:r>
              <w:rPr>
                <w:rFonts w:ascii="仿宋_GB2312" w:hAnsi="仿宋_GB2312" w:cs="仿宋_GB2312" w:eastAsia="仿宋_GB2312"/>
              </w:rPr>
              <w:t>9、季度评价：每季度末由食堂管理部门组织用餐人员进行满意度问卷调查，同时结合日常检查情况，对各项评价指标进行打分，计算出季度综合得分。问卷调查样本量不少于用餐总人数的30%，确保评价结果具有代表性，根据评价结果形成季度综合评价报告。</w:t>
            </w:r>
          </w:p>
          <w:p>
            <w:pPr>
              <w:pStyle w:val="null3"/>
            </w:pPr>
            <w:r>
              <w:rPr>
                <w:rFonts w:ascii="仿宋_GB2312" w:hAnsi="仿宋_GB2312" w:cs="仿宋_GB2312" w:eastAsia="仿宋_GB2312"/>
              </w:rPr>
              <w:t>10、奖励：对季度评价服务指标得分高于85分的即为好等次，给予通报表扬、合同金额支付政策优惠、增加服务范围等奖励，树立优秀服务标杆。</w:t>
            </w:r>
          </w:p>
          <w:p>
            <w:pPr>
              <w:pStyle w:val="null3"/>
            </w:pPr>
            <w:r>
              <w:rPr>
                <w:rFonts w:ascii="仿宋_GB2312" w:hAnsi="仿宋_GB2312" w:cs="仿宋_GB2312" w:eastAsia="仿宋_GB2312"/>
              </w:rPr>
              <w:t>11、处罚：</w:t>
            </w:r>
          </w:p>
          <w:p>
            <w:pPr>
              <w:pStyle w:val="null3"/>
            </w:pPr>
            <w:r>
              <w:rPr>
                <w:rFonts w:ascii="仿宋_GB2312" w:hAnsi="仿宋_GB2312" w:cs="仿宋_GB2312" w:eastAsia="仿宋_GB2312"/>
              </w:rPr>
              <w:t>1）、季度评价得分低于 70 分，对负责人进行约谈，要求其在 5 个工作日内提交整改方案，并限期整改。</w:t>
            </w:r>
          </w:p>
          <w:p>
            <w:pPr>
              <w:pStyle w:val="null3"/>
            </w:pPr>
            <w:r>
              <w:rPr>
                <w:rFonts w:ascii="仿宋_GB2312" w:hAnsi="仿宋_GB2312" w:cs="仿宋_GB2312" w:eastAsia="仿宋_GB2312"/>
              </w:rPr>
              <w:t>2）、连续两次得分低于 70 分，扣除合同约定服务费用的5%，并加大检查频次。</w:t>
            </w:r>
          </w:p>
          <w:p>
            <w:pPr>
              <w:pStyle w:val="null3"/>
            </w:pPr>
            <w:r>
              <w:rPr>
                <w:rFonts w:ascii="仿宋_GB2312" w:hAnsi="仿宋_GB2312" w:cs="仿宋_GB2312" w:eastAsia="仿宋_GB2312"/>
                <w:sz w:val="21"/>
              </w:rPr>
              <w:t>3）、季度评价得分低于60分，暂停部分业务，进行全面整改，整改期间由管理部门进行重点监督。</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西安市工商行政管理局旅游市场监督管理分局指定地点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进度款，全部项目服务结束后，达到付款条件起30个工作日内，支付合同总金额的100.0%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电子化项目系统格式限制，付款方式以此处为准：付款方式：按季度支付，每季度结束前，甲方根据乙方本季度的评价结果支付该季度费用，连续两个季度评价结果为“好”等次的，可以提前支付第三季度费用，第四季度费用于2027年6月底前完成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12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3资格证明文件.docx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食品经营许可证</w:t>
            </w:r>
          </w:p>
        </w:tc>
        <w:tc>
          <w:tcPr>
            <w:tcW w:type="dxa" w:w="3322"/>
          </w:tcPr>
          <w:p>
            <w:pPr>
              <w:pStyle w:val="null3"/>
            </w:pPr>
            <w:r>
              <w:rPr>
                <w:rFonts w:ascii="仿宋_GB2312" w:hAnsi="仿宋_GB2312" w:cs="仿宋_GB2312" w:eastAsia="仿宋_GB2312"/>
              </w:rPr>
              <w:t>供应商须提供有效期内的《食品经营许可证》</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1分项价格表.docx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磋商报价未超过磋商文件中规定的预算金额</w:t>
            </w:r>
          </w:p>
        </w:tc>
        <w:tc>
          <w:tcPr>
            <w:tcW w:type="dxa" w:w="1661"/>
          </w:tcPr>
          <w:p>
            <w:pPr>
              <w:pStyle w:val="null3"/>
            </w:pPr>
            <w:r>
              <w:rPr>
                <w:rFonts w:ascii="仿宋_GB2312" w:hAnsi="仿宋_GB2312" w:cs="仿宋_GB2312" w:eastAsia="仿宋_GB2312"/>
              </w:rPr>
              <w:t>标的清单 1分项价格表.docx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满足本磋商文件3.3商务要求中“服务期限、服务地点”及3.4其他要求中的“支付约定”的实质性条款要求的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w:t>
            </w:r>
          </w:p>
        </w:tc>
        <w:tc>
          <w:tcPr>
            <w:tcW w:type="dxa" w:w="2492"/>
          </w:tcPr>
          <w:p>
            <w:pPr>
              <w:pStyle w:val="null3"/>
            </w:pPr>
            <w:r>
              <w:rPr>
                <w:rFonts w:ascii="仿宋_GB2312" w:hAnsi="仿宋_GB2312" w:cs="仿宋_GB2312" w:eastAsia="仿宋_GB2312"/>
              </w:rPr>
              <w:t>针对本项目第三章技术参数与性能指标（除考核标准外），完全满足要求的计10分。每负偏离1项扣1分。以服务偏离表为准。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6服务要求.docx</w:t>
            </w:r>
          </w:p>
        </w:tc>
      </w:tr>
      <w:tr>
        <w:tc>
          <w:tcPr>
            <w:tcW w:type="dxa" w:w="831"/>
            <w:vMerge/>
          </w:tcPr>
          <w:p/>
        </w:tc>
        <w:tc>
          <w:tcPr>
            <w:tcW w:type="dxa" w:w="1661"/>
          </w:tcPr>
          <w:p>
            <w:pPr>
              <w:pStyle w:val="null3"/>
            </w:pPr>
            <w:r>
              <w:rPr>
                <w:rFonts w:ascii="仿宋_GB2312" w:hAnsi="仿宋_GB2312" w:cs="仿宋_GB2312" w:eastAsia="仿宋_GB2312"/>
              </w:rPr>
              <w:t>项目需求理解及重、难点分析</w:t>
            </w:r>
          </w:p>
        </w:tc>
        <w:tc>
          <w:tcPr>
            <w:tcW w:type="dxa" w:w="2492"/>
          </w:tcPr>
          <w:p>
            <w:pPr>
              <w:pStyle w:val="null3"/>
            </w:pPr>
            <w:r>
              <w:rPr>
                <w:rFonts w:ascii="仿宋_GB2312" w:hAnsi="仿宋_GB2312" w:cs="仿宋_GB2312" w:eastAsia="仿宋_GB2312"/>
              </w:rPr>
              <w:t>供应商结合项目特点、服务内容及要求制定项目项目需求理解及重、难点分析，包括但不限于：①目标与原则分析②对本项目存在的难点、重点进行分析以及对应的措施等。 完全满足采购需求，无瑕疵，计5分；方案内容每存在1处瑕疵扣0.5分； 未提供或内容存在5处及以上瑕疵：0分。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 “同理”）。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7项目需求理解及重、难点分析.docx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需求提供完整的服务方案，包括不限于：①食材采购、加工、制作方案②卫生清洁服务③设备设施管理方案④供餐内容等方面。完全满足采购需求，无瑕疵，计12分；方案内容每存在1处瑕疵扣0.5分； 未提供或内容存在12处及以上瑕疵：0分。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8服务方案.docx</w:t>
            </w:r>
          </w:p>
          <w:p>
            <w:pPr>
              <w:pStyle w:val="null3"/>
            </w:pPr>
            <w:r>
              <w:rPr>
                <w:rFonts w:ascii="仿宋_GB2312" w:hAnsi="仿宋_GB2312" w:cs="仿宋_GB2312" w:eastAsia="仿宋_GB2312"/>
              </w:rPr>
              <w:t>5服务响应偏离表.docx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供应商针对本项目需求及特点，提供培训方案，包括但不限于：①培训人员及内容②培训方式及培训时长等。完全满足采购需求，无瑕疵，计4分；方案内容每存在1处瑕疵扣0.5分； 未提供或内容存在4处及以上瑕疵：0分。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质量保证及安全管理措施</w:t>
            </w:r>
          </w:p>
        </w:tc>
        <w:tc>
          <w:tcPr>
            <w:tcW w:type="dxa" w:w="2492"/>
          </w:tcPr>
          <w:p>
            <w:pPr>
              <w:pStyle w:val="null3"/>
            </w:pPr>
            <w:r>
              <w:rPr>
                <w:rFonts w:ascii="仿宋_GB2312" w:hAnsi="仿宋_GB2312" w:cs="仿宋_GB2312" w:eastAsia="仿宋_GB2312"/>
              </w:rPr>
              <w:t>供应商针对本项目需求提供质量保证及安全管理措施，包括不限于：①食材来源可靠程度②食材及调味品检测③安全执行标准及出现事故的处理方案等。完全满足采购需求，无瑕疵，计5分； 方案内容每存在1处瑕疵扣0.5分；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10质量保证及安全管理措.docx</w:t>
            </w:r>
          </w:p>
        </w:tc>
      </w:tr>
      <w:tr>
        <w:tc>
          <w:tcPr>
            <w:tcW w:type="dxa" w:w="831"/>
            <w:vMerge/>
          </w:tcPr>
          <w:p/>
        </w:tc>
        <w:tc>
          <w:tcPr>
            <w:tcW w:type="dxa" w:w="1661"/>
          </w:tcPr>
          <w:p>
            <w:pPr>
              <w:pStyle w:val="null3"/>
            </w:pPr>
            <w:r>
              <w:rPr>
                <w:rFonts w:ascii="仿宋_GB2312" w:hAnsi="仿宋_GB2312" w:cs="仿宋_GB2312" w:eastAsia="仿宋_GB2312"/>
              </w:rPr>
              <w:t>卫生管理制度</w:t>
            </w:r>
          </w:p>
        </w:tc>
        <w:tc>
          <w:tcPr>
            <w:tcW w:type="dxa" w:w="2492"/>
          </w:tcPr>
          <w:p>
            <w:pPr>
              <w:pStyle w:val="null3"/>
            </w:pPr>
            <w:r>
              <w:rPr>
                <w:rFonts w:ascii="仿宋_GB2312" w:hAnsi="仿宋_GB2312" w:cs="仿宋_GB2312" w:eastAsia="仿宋_GB2312"/>
              </w:rPr>
              <w:t>供应商针对本项目需求提供卫生管理制度，包括不限于：①环境卫生②餐具清洁卫生③餐厨废弃物处置④日常操作规范管理措施等。完全满足采购需求，无瑕疵，计5分； 方案内容每存在1处瑕疵扣0.5分； 未提供或内容存在10处及以上瑕疵：0分。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11卫生管理制度.docx</w:t>
            </w:r>
          </w:p>
        </w:tc>
      </w:tr>
      <w:tr>
        <w:tc>
          <w:tcPr>
            <w:tcW w:type="dxa" w:w="831"/>
            <w:vMerge/>
          </w:tcPr>
          <w:p/>
        </w:tc>
        <w:tc>
          <w:tcPr>
            <w:tcW w:type="dxa" w:w="1661"/>
          </w:tcPr>
          <w:p>
            <w:pPr>
              <w:pStyle w:val="null3"/>
            </w:pPr>
            <w:r>
              <w:rPr>
                <w:rFonts w:ascii="仿宋_GB2312" w:hAnsi="仿宋_GB2312" w:cs="仿宋_GB2312" w:eastAsia="仿宋_GB2312"/>
              </w:rPr>
              <w:t>厨师</w:t>
            </w:r>
          </w:p>
        </w:tc>
        <w:tc>
          <w:tcPr>
            <w:tcW w:type="dxa" w:w="2492"/>
          </w:tcPr>
          <w:p>
            <w:pPr>
              <w:pStyle w:val="null3"/>
            </w:pPr>
            <w:r>
              <w:rPr>
                <w:rFonts w:ascii="仿宋_GB2312" w:hAnsi="仿宋_GB2312" w:cs="仿宋_GB2312" w:eastAsia="仿宋_GB2312"/>
              </w:rPr>
              <w:t>（1）厨师具备健康证。提供1人计0.5分，满分5分。 （2）厨师中每提供1个厨师证计2分，满分6分。 （3）拟派厨师中具有营养师且提供该人员相关证明材料计1分，满分1分。 此项共12分。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12厨师.docx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服务团队（除厨师外）： （1）拟派项目服务团队人员数量能满足采购单位用餐需求，人员专业岗位职责明确、具体。 并提供拟配餐饮服务人员的简历介绍（包含但不限于人员姓名、基本信息、健康证、相关证书等。） 人员满足采购需求计4分。每存在1处瑕疵扣0.5分； 未提供或内容存在4处及以上瑕疵：0分。 （2）拟派人员中具有食品安全员证书的计1分。 注：若供应商现有人员储备库不能满足项目需求，或拟派人员不具备健康证，但供应商提供承诺：中标后在项目实施前能够保证配齐相关岗位人员并办理健康证书的计1分，供应商。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13服务团队.docx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供应商针对本项目提供突发事件的应急预案处理措施，内容包含①突发事件含义和分类②停违法事件：盗窃、防盗、打架斗殴、寻衅滋事③食品安全事故：出现食品安全事故的处理方案及责任范围。 完全满足采购需求，无瑕疵，计5分； 方案内容每存在1处瑕疵扣0.5分；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14应急预案.docx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根据供应商针对本项目提供的保密措施，至少包含：①管理措施②保密培训等。 完全满足采购需求，无瑕疵，计4分； 方案内容每存在1处瑕疵扣0.5分； 未提供或内容存在4处及以上瑕疵：0分。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15保密措施.docx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承诺1：供应商承诺：所有服务员工由成交供应商自行招聘，员工工资和社保、医保等福利待遇及意外保险等均由成交供应商自行承担，不得向采购单位追加任何费用。 承诺2：供应商承诺：饭菜加工、制作要严格按照《国家食品安全法》要求进行，确保食品卫生安全。严格按安全操作规程使用、保管设备、设施。如出现任何食品卫生安全等问题，所有后果均由成交供应商承自行承担。 承诺3：供应商承诺：根据采购需求中的考核要求，接受采购人对服务的考核、监督及管理，并对采购人提出的服务质量问题限时加以改进，定期回访。 以上承诺每提供1个计2分，满分6分。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16承诺.docx</w:t>
            </w:r>
          </w:p>
        </w:tc>
      </w:tr>
      <w:tr>
        <w:tc>
          <w:tcPr>
            <w:tcW w:type="dxa" w:w="831"/>
            <w:vMerge/>
          </w:tcPr>
          <w:p/>
        </w:tc>
        <w:tc>
          <w:tcPr>
            <w:tcW w:type="dxa" w:w="1661"/>
          </w:tcPr>
          <w:p>
            <w:pPr>
              <w:pStyle w:val="null3"/>
            </w:pPr>
            <w:r>
              <w:rPr>
                <w:rFonts w:ascii="仿宋_GB2312" w:hAnsi="仿宋_GB2312" w:cs="仿宋_GB2312" w:eastAsia="仿宋_GB2312"/>
              </w:rPr>
              <w:t>合理化建议或增值服务</w:t>
            </w:r>
          </w:p>
        </w:tc>
        <w:tc>
          <w:tcPr>
            <w:tcW w:type="dxa" w:w="2492"/>
          </w:tcPr>
          <w:p>
            <w:pPr>
              <w:pStyle w:val="null3"/>
            </w:pPr>
            <w:r>
              <w:rPr>
                <w:rFonts w:ascii="仿宋_GB2312" w:hAnsi="仿宋_GB2312" w:cs="仿宋_GB2312" w:eastAsia="仿宋_GB2312"/>
              </w:rPr>
              <w:t>增值服务：供应商提供针对有利于本项目实施的合理化建议或增值服务承诺，每提供1个经磋商小组一致认定的增值服务承诺计1分，最多得5分。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17增值服务.docx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提供供应商2023年1月1日至今同类项目合同扫描件（以合同签订日期为准），扫描件必须清晰体现签约主体和日期、项目名称及内容、合同金额等核心要素。每提供1个有效业绩得2分，最高得6分。 备注：响应文件中提供合同扫描件加盖供应商公章。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18业绩.docx</w:t>
            </w:r>
          </w:p>
        </w:tc>
      </w:tr>
      <w:tr>
        <w:tc>
          <w:tcPr>
            <w:tcW w:type="dxa" w:w="831"/>
            <w:vMerge/>
          </w:tcPr>
          <w:p/>
        </w:tc>
        <w:tc>
          <w:tcPr>
            <w:tcW w:type="dxa" w:w="1661"/>
          </w:tcPr>
          <w:p>
            <w:pPr>
              <w:pStyle w:val="null3"/>
            </w:pPr>
            <w:r>
              <w:rPr>
                <w:rFonts w:ascii="仿宋_GB2312" w:hAnsi="仿宋_GB2312" w:cs="仿宋_GB2312" w:eastAsia="仿宋_GB2312"/>
              </w:rPr>
              <w:t>采购政策</w:t>
            </w:r>
          </w:p>
        </w:tc>
        <w:tc>
          <w:tcPr>
            <w:tcW w:type="dxa" w:w="2492"/>
          </w:tcPr>
          <w:p>
            <w:pPr>
              <w:pStyle w:val="null3"/>
            </w:pPr>
            <w:r>
              <w:rPr>
                <w:rFonts w:ascii="仿宋_GB2312" w:hAnsi="仿宋_GB2312" w:cs="仿宋_GB2312" w:eastAsia="仿宋_GB2312"/>
              </w:rPr>
              <w:t>供应商合作的食材供应商中有出自国家级贫困县域内注册的企业或农民专业合作社或家庭农场等 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19采购政策.docx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磋商报价得分＝（评标基准价/磋商报价）×价格分值（注：满足磋商文件要求且投标价格最低的投标报价为评标基准价。）最低报价不是中标的唯一依据。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详见附件：6服务要求.docx</w:t>
      </w:r>
    </w:p>
    <w:p>
      <w:pPr>
        <w:pStyle w:val="null3"/>
        <w:ind w:firstLine="960"/>
      </w:pPr>
      <w:r>
        <w:rPr>
          <w:rFonts w:ascii="仿宋_GB2312" w:hAnsi="仿宋_GB2312" w:cs="仿宋_GB2312" w:eastAsia="仿宋_GB2312"/>
        </w:rPr>
        <w:t>详见附件：7项目需求理解及重、难点分析.docx</w:t>
      </w:r>
    </w:p>
    <w:p>
      <w:pPr>
        <w:pStyle w:val="null3"/>
        <w:ind w:firstLine="960"/>
      </w:pPr>
      <w:r>
        <w:rPr>
          <w:rFonts w:ascii="仿宋_GB2312" w:hAnsi="仿宋_GB2312" w:cs="仿宋_GB2312" w:eastAsia="仿宋_GB2312"/>
        </w:rPr>
        <w:t>详见附件：8服务方案.docx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详见附件：10质量保证及安全管理措.docx</w:t>
      </w:r>
    </w:p>
    <w:p>
      <w:pPr>
        <w:pStyle w:val="null3"/>
        <w:ind w:firstLine="960"/>
      </w:pPr>
      <w:r>
        <w:rPr>
          <w:rFonts w:ascii="仿宋_GB2312" w:hAnsi="仿宋_GB2312" w:cs="仿宋_GB2312" w:eastAsia="仿宋_GB2312"/>
        </w:rPr>
        <w:t>详见附件：11卫生管理制度.docx</w:t>
      </w:r>
    </w:p>
    <w:p>
      <w:pPr>
        <w:pStyle w:val="null3"/>
        <w:ind w:firstLine="960"/>
      </w:pPr>
      <w:r>
        <w:rPr>
          <w:rFonts w:ascii="仿宋_GB2312" w:hAnsi="仿宋_GB2312" w:cs="仿宋_GB2312" w:eastAsia="仿宋_GB2312"/>
        </w:rPr>
        <w:t>详见附件：12厨师.docx</w:t>
      </w:r>
    </w:p>
    <w:p>
      <w:pPr>
        <w:pStyle w:val="null3"/>
        <w:ind w:firstLine="960"/>
      </w:pPr>
      <w:r>
        <w:rPr>
          <w:rFonts w:ascii="仿宋_GB2312" w:hAnsi="仿宋_GB2312" w:cs="仿宋_GB2312" w:eastAsia="仿宋_GB2312"/>
        </w:rPr>
        <w:t>详见附件：13服务团队.docx</w:t>
      </w:r>
    </w:p>
    <w:p>
      <w:pPr>
        <w:pStyle w:val="null3"/>
        <w:ind w:firstLine="960"/>
      </w:pPr>
      <w:r>
        <w:rPr>
          <w:rFonts w:ascii="仿宋_GB2312" w:hAnsi="仿宋_GB2312" w:cs="仿宋_GB2312" w:eastAsia="仿宋_GB2312"/>
        </w:rPr>
        <w:t>详见附件：14应急预案.docx</w:t>
      </w:r>
    </w:p>
    <w:p>
      <w:pPr>
        <w:pStyle w:val="null3"/>
        <w:ind w:firstLine="960"/>
      </w:pPr>
      <w:r>
        <w:rPr>
          <w:rFonts w:ascii="仿宋_GB2312" w:hAnsi="仿宋_GB2312" w:cs="仿宋_GB2312" w:eastAsia="仿宋_GB2312"/>
        </w:rPr>
        <w:t>详见附件：15保密措施.docx</w:t>
      </w:r>
    </w:p>
    <w:p>
      <w:pPr>
        <w:pStyle w:val="null3"/>
        <w:ind w:firstLine="960"/>
      </w:pPr>
      <w:r>
        <w:rPr>
          <w:rFonts w:ascii="仿宋_GB2312" w:hAnsi="仿宋_GB2312" w:cs="仿宋_GB2312" w:eastAsia="仿宋_GB2312"/>
        </w:rPr>
        <w:t>详见附件：16承诺.docx</w:t>
      </w:r>
    </w:p>
    <w:p>
      <w:pPr>
        <w:pStyle w:val="null3"/>
        <w:ind w:firstLine="960"/>
      </w:pPr>
      <w:r>
        <w:rPr>
          <w:rFonts w:ascii="仿宋_GB2312" w:hAnsi="仿宋_GB2312" w:cs="仿宋_GB2312" w:eastAsia="仿宋_GB2312"/>
        </w:rPr>
        <w:t>详见附件：17增值服务.docx</w:t>
      </w:r>
    </w:p>
    <w:p>
      <w:pPr>
        <w:pStyle w:val="null3"/>
        <w:ind w:firstLine="960"/>
      </w:pPr>
      <w:r>
        <w:rPr>
          <w:rFonts w:ascii="仿宋_GB2312" w:hAnsi="仿宋_GB2312" w:cs="仿宋_GB2312" w:eastAsia="仿宋_GB2312"/>
        </w:rPr>
        <w:t>详见附件：18业绩.docx</w:t>
      </w:r>
    </w:p>
    <w:p>
      <w:pPr>
        <w:pStyle w:val="null3"/>
        <w:ind w:firstLine="960"/>
      </w:pPr>
      <w:r>
        <w:rPr>
          <w:rFonts w:ascii="仿宋_GB2312" w:hAnsi="仿宋_GB2312" w:cs="仿宋_GB2312" w:eastAsia="仿宋_GB2312"/>
        </w:rPr>
        <w:t>详见附件：19采购政策.docx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