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75E7F">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仿宋" w:hAnsi="仿宋" w:eastAsia="仿宋" w:cs="仿宋"/>
          <w:bCs/>
          <w:color w:val="auto"/>
          <w:sz w:val="36"/>
          <w:szCs w:val="36"/>
          <w:highlight w:val="none"/>
          <w:lang w:eastAsia="zh-CN"/>
        </w:rPr>
      </w:pPr>
      <w:bookmarkStart w:id="0" w:name="OLE_LINK1"/>
    </w:p>
    <w:p w14:paraId="17A4E0D0">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仿宋" w:hAnsi="仿宋" w:eastAsia="仿宋" w:cs="仿宋"/>
          <w:bCs/>
          <w:color w:val="auto"/>
          <w:sz w:val="36"/>
          <w:szCs w:val="36"/>
          <w:highlight w:val="none"/>
          <w:lang w:eastAsia="zh-CN"/>
        </w:rPr>
      </w:pPr>
    </w:p>
    <w:p w14:paraId="51F9DFAD">
      <w:pPr>
        <w:keepNext w:val="0"/>
        <w:keepLines w:val="0"/>
        <w:pageBreakBefore w:val="0"/>
        <w:widowControl/>
        <w:kinsoku w:val="0"/>
        <w:wordWrap/>
        <w:overflowPunct/>
        <w:topLinePunct w:val="0"/>
        <w:autoSpaceDE w:val="0"/>
        <w:autoSpaceDN w:val="0"/>
        <w:bidi w:val="0"/>
        <w:adjustRightInd w:val="0"/>
        <w:snapToGrid w:val="0"/>
        <w:spacing w:line="800" w:lineRule="exact"/>
        <w:ind w:firstLine="420" w:firstLineChars="0"/>
        <w:jc w:val="center"/>
        <w:textAlignment w:val="baseline"/>
        <w:rPr>
          <w:rFonts w:hint="eastAsia" w:ascii="仿宋" w:hAnsi="仿宋" w:eastAsia="仿宋" w:cs="仿宋"/>
          <w:bCs/>
          <w:color w:val="auto"/>
          <w:sz w:val="36"/>
          <w:szCs w:val="36"/>
          <w:highlight w:val="none"/>
          <w:lang w:eastAsia="zh-CN"/>
        </w:rPr>
      </w:pPr>
      <w:r>
        <w:rPr>
          <w:rFonts w:hint="eastAsia" w:ascii="仿宋" w:hAnsi="仿宋" w:eastAsia="仿宋" w:cs="仿宋"/>
          <w:bCs/>
          <w:color w:val="auto"/>
          <w:sz w:val="36"/>
          <w:szCs w:val="36"/>
          <w:highlight w:val="none"/>
          <w:lang w:eastAsia="zh-CN"/>
        </w:rPr>
        <w:t>西安市工商行政管理局旅游市场监督管理分局</w:t>
      </w:r>
      <w:bookmarkEnd w:id="0"/>
    </w:p>
    <w:p w14:paraId="1C5466ED">
      <w:pPr>
        <w:keepNext w:val="0"/>
        <w:keepLines w:val="0"/>
        <w:pageBreakBefore w:val="0"/>
        <w:widowControl/>
        <w:kinsoku w:val="0"/>
        <w:wordWrap/>
        <w:overflowPunct/>
        <w:topLinePunct w:val="0"/>
        <w:autoSpaceDE w:val="0"/>
        <w:autoSpaceDN w:val="0"/>
        <w:bidi w:val="0"/>
        <w:adjustRightInd w:val="0"/>
        <w:snapToGrid w:val="0"/>
        <w:spacing w:line="800" w:lineRule="exact"/>
        <w:jc w:val="center"/>
        <w:textAlignment w:val="baseline"/>
        <w:rPr>
          <w:rFonts w:hint="eastAsia" w:ascii="仿宋" w:hAnsi="仿宋" w:eastAsia="仿宋" w:cs="仿宋"/>
          <w:b/>
          <w:color w:val="auto"/>
          <w:sz w:val="36"/>
          <w:szCs w:val="36"/>
          <w:highlight w:val="none"/>
        </w:rPr>
      </w:pPr>
      <w:r>
        <w:rPr>
          <w:rFonts w:hint="eastAsia" w:ascii="仿宋" w:hAnsi="仿宋" w:eastAsia="仿宋" w:cs="仿宋"/>
          <w:bCs/>
          <w:color w:val="auto"/>
          <w:sz w:val="36"/>
          <w:szCs w:val="36"/>
          <w:highlight w:val="none"/>
        </w:rPr>
        <w:t>支队餐饮服务管理项目合同书</w:t>
      </w:r>
    </w:p>
    <w:p w14:paraId="41478C5D">
      <w:pPr>
        <w:keepNext w:val="0"/>
        <w:keepLines w:val="0"/>
        <w:pageBreakBefore w:val="0"/>
        <w:widowControl/>
        <w:tabs>
          <w:tab w:val="left" w:pos="7815"/>
        </w:tabs>
        <w:kinsoku w:val="0"/>
        <w:wordWrap/>
        <w:overflowPunct/>
        <w:topLinePunct w:val="0"/>
        <w:autoSpaceDE w:val="0"/>
        <w:autoSpaceDN w:val="0"/>
        <w:bidi w:val="0"/>
        <w:adjustRightInd w:val="0"/>
        <w:snapToGrid w:val="0"/>
        <w:spacing w:line="1100" w:lineRule="exact"/>
        <w:jc w:val="left"/>
        <w:textAlignment w:val="baseline"/>
        <w:rPr>
          <w:rFonts w:hint="eastAsia" w:ascii="仿宋" w:hAnsi="仿宋" w:eastAsia="仿宋" w:cs="仿宋"/>
          <w:bCs/>
          <w:color w:val="auto"/>
          <w:sz w:val="28"/>
          <w:szCs w:val="28"/>
          <w:highlight w:val="none"/>
        </w:rPr>
      </w:pPr>
    </w:p>
    <w:p w14:paraId="3882D5E3">
      <w:pPr>
        <w:keepNext w:val="0"/>
        <w:keepLines w:val="0"/>
        <w:pageBreakBefore w:val="0"/>
        <w:widowControl/>
        <w:tabs>
          <w:tab w:val="left" w:pos="7815"/>
        </w:tabs>
        <w:kinsoku w:val="0"/>
        <w:wordWrap/>
        <w:overflowPunct/>
        <w:topLinePunct w:val="0"/>
        <w:autoSpaceDE w:val="0"/>
        <w:autoSpaceDN w:val="0"/>
        <w:bidi w:val="0"/>
        <w:adjustRightInd w:val="0"/>
        <w:snapToGrid w:val="0"/>
        <w:spacing w:line="1100" w:lineRule="exact"/>
        <w:jc w:val="left"/>
        <w:textAlignment w:val="baseline"/>
        <w:rPr>
          <w:rFonts w:hint="eastAsia" w:ascii="仿宋" w:hAnsi="仿宋" w:eastAsia="仿宋" w:cs="仿宋"/>
          <w:b/>
          <w:color w:val="auto"/>
          <w:sz w:val="28"/>
          <w:szCs w:val="28"/>
          <w:highlight w:val="none"/>
        </w:rPr>
      </w:pPr>
      <w:r>
        <w:rPr>
          <w:rFonts w:hint="eastAsia" w:ascii="仿宋" w:hAnsi="仿宋" w:eastAsia="仿宋" w:cs="仿宋"/>
          <w:bCs/>
          <w:color w:val="auto"/>
          <w:sz w:val="28"/>
          <w:szCs w:val="28"/>
          <w:highlight w:val="none"/>
        </w:rPr>
        <w:tab/>
      </w:r>
    </w:p>
    <w:p w14:paraId="1031BC8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z w:val="28"/>
          <w:szCs w:val="28"/>
          <w:highlight w:val="none"/>
        </w:rPr>
      </w:pPr>
    </w:p>
    <w:p w14:paraId="1388E36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（服务类）</w:t>
      </w:r>
    </w:p>
    <w:p w14:paraId="2913367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项目编号：ZX2026-06-93</w:t>
      </w:r>
    </w:p>
    <w:p w14:paraId="02FA2974">
      <w:pPr>
        <w:keepNext w:val="0"/>
        <w:keepLines w:val="0"/>
        <w:pageBreakBefore w:val="0"/>
        <w:widowControl/>
        <w:tabs>
          <w:tab w:val="left" w:pos="375"/>
        </w:tabs>
        <w:kinsoku w:val="0"/>
        <w:wordWrap/>
        <w:overflowPunct/>
        <w:topLinePunct w:val="0"/>
        <w:autoSpaceDE w:val="0"/>
        <w:autoSpaceDN w:val="0"/>
        <w:bidi w:val="0"/>
        <w:adjustRightInd w:val="0"/>
        <w:snapToGrid w:val="0"/>
        <w:spacing w:line="360" w:lineRule="auto"/>
        <w:ind w:firstLine="1540" w:firstLineChars="55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ab/>
      </w:r>
    </w:p>
    <w:p w14:paraId="0C4691C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highlight w:val="none"/>
        </w:rPr>
      </w:pPr>
    </w:p>
    <w:p w14:paraId="43C0F0A9">
      <w:pPr>
        <w:pStyle w:val="6"/>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color w:val="auto"/>
          <w:sz w:val="28"/>
          <w:szCs w:val="28"/>
          <w:highlight w:val="none"/>
        </w:rPr>
      </w:pPr>
    </w:p>
    <w:p w14:paraId="4DA31BD2">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color w:val="auto"/>
          <w:sz w:val="28"/>
          <w:szCs w:val="28"/>
          <w:highlight w:val="none"/>
        </w:rPr>
      </w:pPr>
    </w:p>
    <w:p w14:paraId="59CC379B">
      <w:pPr>
        <w:pStyle w:val="6"/>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color w:val="auto"/>
          <w:sz w:val="28"/>
          <w:szCs w:val="28"/>
          <w:highlight w:val="none"/>
        </w:rPr>
      </w:pPr>
    </w:p>
    <w:p w14:paraId="2162F0E3">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bCs/>
          <w:color w:val="auto"/>
          <w:sz w:val="28"/>
          <w:szCs w:val="28"/>
          <w:highlight w:val="none"/>
        </w:rPr>
      </w:pPr>
    </w:p>
    <w:p w14:paraId="5517E34E">
      <w:pPr>
        <w:keepNext w:val="0"/>
        <w:keepLines w:val="0"/>
        <w:pageBreakBefore w:val="0"/>
        <w:widowControl/>
        <w:kinsoku w:val="0"/>
        <w:wordWrap/>
        <w:overflowPunct/>
        <w:topLinePunct w:val="0"/>
        <w:autoSpaceDE w:val="0"/>
        <w:autoSpaceDN w:val="0"/>
        <w:bidi w:val="0"/>
        <w:adjustRightInd w:val="0"/>
        <w:snapToGrid w:val="0"/>
        <w:spacing w:line="360" w:lineRule="auto"/>
        <w:ind w:firstLine="840" w:firstLineChars="300"/>
        <w:textAlignment w:val="baseline"/>
        <w:rPr>
          <w:rFonts w:hint="eastAsia" w:ascii="仿宋" w:hAnsi="仿宋" w:eastAsia="仿宋" w:cs="仿宋"/>
          <w:bCs/>
          <w:color w:val="auto"/>
          <w:sz w:val="28"/>
          <w:szCs w:val="28"/>
          <w:highlight w:val="none"/>
          <w:u w:val="single"/>
          <w:lang w:eastAsia="zh-CN"/>
        </w:rPr>
      </w:pPr>
      <w:r>
        <w:rPr>
          <w:rFonts w:hint="eastAsia" w:ascii="仿宋" w:hAnsi="仿宋" w:eastAsia="仿宋" w:cs="仿宋"/>
          <w:bCs/>
          <w:color w:val="auto"/>
          <w:sz w:val="28"/>
          <w:szCs w:val="28"/>
          <w:highlight w:val="none"/>
        </w:rPr>
        <w:t>甲方：</w:t>
      </w:r>
      <w:r>
        <w:rPr>
          <w:rFonts w:hint="eastAsia" w:ascii="仿宋" w:hAnsi="仿宋" w:eastAsia="仿宋" w:cs="仿宋"/>
          <w:bCs/>
          <w:color w:val="auto"/>
          <w:sz w:val="28"/>
          <w:szCs w:val="28"/>
          <w:highlight w:val="none"/>
          <w:u w:val="single"/>
          <w:lang w:eastAsia="zh-CN"/>
        </w:rPr>
        <w:t>西</w:t>
      </w:r>
      <w:bookmarkStart w:id="1" w:name="OLE_LINK2"/>
      <w:r>
        <w:rPr>
          <w:rFonts w:hint="eastAsia" w:ascii="仿宋" w:hAnsi="仿宋" w:eastAsia="仿宋" w:cs="仿宋"/>
          <w:bCs/>
          <w:color w:val="auto"/>
          <w:sz w:val="28"/>
          <w:szCs w:val="28"/>
          <w:highlight w:val="none"/>
          <w:u w:val="single"/>
          <w:lang w:eastAsia="zh-CN"/>
        </w:rPr>
        <w:t>安市工商行政管理局旅游市场监督管理分局</w:t>
      </w:r>
    </w:p>
    <w:bookmarkEnd w:id="1"/>
    <w:p w14:paraId="4AC0F1F9">
      <w:pPr>
        <w:keepNext w:val="0"/>
        <w:keepLines w:val="0"/>
        <w:pageBreakBefore w:val="0"/>
        <w:widowControl/>
        <w:kinsoku w:val="0"/>
        <w:wordWrap/>
        <w:overflowPunct/>
        <w:topLinePunct w:val="0"/>
        <w:autoSpaceDE w:val="0"/>
        <w:autoSpaceDN w:val="0"/>
        <w:bidi w:val="0"/>
        <w:adjustRightInd w:val="0"/>
        <w:snapToGrid w:val="0"/>
        <w:spacing w:line="360" w:lineRule="auto"/>
        <w:ind w:firstLine="840" w:firstLineChars="300"/>
        <w:textAlignment w:val="baseline"/>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乙方：</w:t>
      </w:r>
      <w:r>
        <w:rPr>
          <w:rFonts w:hint="eastAsia" w:ascii="仿宋" w:hAnsi="仿宋" w:eastAsia="仿宋" w:cs="仿宋"/>
          <w:bCs/>
          <w:color w:val="auto"/>
          <w:sz w:val="28"/>
          <w:szCs w:val="28"/>
          <w:highlight w:val="none"/>
          <w:u w:val="single"/>
          <w:lang w:val="en-US" w:eastAsia="zh-CN"/>
        </w:rPr>
        <w:t xml:space="preserve">                                   </w:t>
      </w:r>
    </w:p>
    <w:p w14:paraId="02FF2D0B">
      <w:pPr>
        <w:keepNext w:val="0"/>
        <w:keepLines w:val="0"/>
        <w:pageBreakBefore w:val="0"/>
        <w:widowControl/>
        <w:kinsoku w:val="0"/>
        <w:wordWrap/>
        <w:overflowPunct/>
        <w:topLinePunct w:val="0"/>
        <w:autoSpaceDE w:val="0"/>
        <w:autoSpaceDN w:val="0"/>
        <w:bidi w:val="0"/>
        <w:adjustRightInd w:val="0"/>
        <w:snapToGrid w:val="0"/>
        <w:ind w:firstLine="840" w:firstLineChars="300"/>
        <w:textAlignment w:val="baseline"/>
        <w:rPr>
          <w:rFonts w:hint="eastAsia"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rPr>
        <w:t>年</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rPr>
        <w:t>月</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w:t>
      </w:r>
    </w:p>
    <w:p w14:paraId="708278DC">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color w:val="auto"/>
          <w:sz w:val="28"/>
          <w:szCs w:val="28"/>
          <w:highlight w:val="none"/>
          <w:lang w:val="zh-CN"/>
        </w:rPr>
      </w:pPr>
    </w:p>
    <w:p w14:paraId="0B08F7D0">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color w:val="auto"/>
          <w:sz w:val="28"/>
          <w:szCs w:val="28"/>
          <w:highlight w:val="none"/>
          <w:lang w:val="zh-CN"/>
        </w:rPr>
      </w:pPr>
    </w:p>
    <w:p w14:paraId="30B2AC65">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color w:val="auto"/>
          <w:sz w:val="28"/>
          <w:szCs w:val="28"/>
          <w:highlight w:val="none"/>
          <w:lang w:val="zh-CN"/>
        </w:rPr>
      </w:pPr>
    </w:p>
    <w:p w14:paraId="01D58F8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color w:val="auto"/>
          <w:sz w:val="28"/>
          <w:szCs w:val="28"/>
          <w:highlight w:val="none"/>
          <w:lang w:val="zh-CN"/>
        </w:rPr>
      </w:pPr>
    </w:p>
    <w:p w14:paraId="5C99A6FF">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甲方：</w:t>
      </w:r>
      <w:bookmarkStart w:id="2" w:name="OLE_LINK4"/>
      <w:r>
        <w:rPr>
          <w:rFonts w:hint="eastAsia" w:ascii="仿宋" w:hAnsi="仿宋" w:eastAsia="仿宋" w:cs="仿宋"/>
          <w:color w:val="auto"/>
          <w:sz w:val="28"/>
          <w:szCs w:val="28"/>
          <w:highlight w:val="none"/>
          <w:lang w:val="en-US" w:eastAsia="zh-CN"/>
        </w:rPr>
        <w:t>西</w:t>
      </w:r>
      <w:r>
        <w:rPr>
          <w:rFonts w:hint="eastAsia" w:ascii="仿宋" w:hAnsi="仿宋" w:eastAsia="仿宋" w:cs="仿宋"/>
          <w:bCs/>
          <w:color w:val="auto"/>
          <w:sz w:val="28"/>
          <w:szCs w:val="28"/>
          <w:highlight w:val="none"/>
          <w:u w:val="none"/>
          <w:lang w:eastAsia="zh-CN"/>
        </w:rPr>
        <w:t>安市工商行政管理局旅游市场监督管理分局</w:t>
      </w:r>
      <w:bookmarkEnd w:id="2"/>
    </w:p>
    <w:p w14:paraId="45DFDDF7">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地址</w:t>
      </w:r>
      <w:r>
        <w:rPr>
          <w:rFonts w:hint="eastAsia" w:ascii="仿宋" w:hAnsi="仿宋" w:eastAsia="仿宋" w:cs="仿宋"/>
          <w:color w:val="auto"/>
          <w:sz w:val="28"/>
          <w:szCs w:val="28"/>
          <w:highlight w:val="none"/>
          <w:lang w:val="zh-CN"/>
        </w:rPr>
        <w:t>：</w:t>
      </w:r>
      <w:bookmarkStart w:id="3" w:name="OLE_LINK5"/>
      <w:r>
        <w:rPr>
          <w:rFonts w:hint="eastAsia" w:ascii="仿宋" w:hAnsi="仿宋" w:eastAsia="仿宋" w:cs="仿宋"/>
          <w:color w:val="auto"/>
          <w:sz w:val="28"/>
          <w:szCs w:val="28"/>
          <w:highlight w:val="none"/>
          <w:lang w:val="zh-CN"/>
        </w:rPr>
        <w:t>西安市碑林区友谊东路298号</w:t>
      </w:r>
      <w:bookmarkEnd w:id="3"/>
    </w:p>
    <w:p w14:paraId="6B83F1D0">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联系人：</w:t>
      </w:r>
    </w:p>
    <w:p w14:paraId="50F9702A">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联系电话：</w:t>
      </w:r>
    </w:p>
    <w:p w14:paraId="77957FA7">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仿宋" w:hAnsi="仿宋" w:eastAsia="仿宋" w:cs="仿宋"/>
          <w:color w:val="auto"/>
          <w:sz w:val="28"/>
          <w:szCs w:val="28"/>
          <w:highlight w:val="none"/>
          <w:lang w:val="zh-CN"/>
        </w:rPr>
      </w:pPr>
    </w:p>
    <w:p w14:paraId="680A766C">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乙方：</w:t>
      </w:r>
      <w:bookmarkStart w:id="4" w:name="OLE_LINK3"/>
    </w:p>
    <w:bookmarkEnd w:id="4"/>
    <w:p w14:paraId="04B0ADB9">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w:t>
      </w:r>
    </w:p>
    <w:p w14:paraId="5F2EA01D">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地址：</w:t>
      </w:r>
    </w:p>
    <w:p w14:paraId="100AF9E6">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联系人及联系方式：</w:t>
      </w:r>
    </w:p>
    <w:p w14:paraId="52011D5F">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统一社会信用代码：</w:t>
      </w:r>
    </w:p>
    <w:p w14:paraId="34FE0C8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bCs/>
          <w:color w:val="auto"/>
          <w:sz w:val="28"/>
          <w:szCs w:val="28"/>
          <w:highlight w:val="none"/>
          <w:u w:val="single"/>
        </w:rPr>
      </w:pPr>
    </w:p>
    <w:p w14:paraId="09F395D2">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甲</w:t>
      </w:r>
      <w:r>
        <w:rPr>
          <w:rFonts w:hint="eastAsia" w:ascii="仿宋" w:hAnsi="仿宋" w:eastAsia="仿宋" w:cs="仿宋"/>
          <w:bCs/>
          <w:color w:val="auto"/>
          <w:sz w:val="28"/>
          <w:szCs w:val="28"/>
          <w:highlight w:val="none"/>
          <w:u w:val="none"/>
        </w:rPr>
        <w:t>方所需服务，按照采购程序，确定乙方为中标供应商。依据《中华人民共和国政府采购法》及实施条例、政府采购货物和服务招标投标管理办法、《中华人民共和国民法典》、乙方招投标文件正本、中标通知书，经甲、乙双方协商，达成如下条款。</w:t>
      </w:r>
    </w:p>
    <w:p w14:paraId="4F1B3595">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eastAsia="zh-CN"/>
        </w:rPr>
      </w:pPr>
      <w:r>
        <w:rPr>
          <w:rFonts w:hint="eastAsia" w:ascii="仿宋" w:hAnsi="仿宋" w:eastAsia="仿宋" w:cs="仿宋"/>
          <w:bCs/>
          <w:color w:val="auto"/>
          <w:sz w:val="28"/>
          <w:szCs w:val="28"/>
          <w:highlight w:val="none"/>
          <w:u w:val="none"/>
        </w:rPr>
        <w:t>一、服务</w:t>
      </w:r>
      <w:r>
        <w:rPr>
          <w:rFonts w:hint="eastAsia" w:ascii="仿宋" w:hAnsi="仿宋" w:eastAsia="仿宋" w:cs="仿宋"/>
          <w:bCs/>
          <w:color w:val="auto"/>
          <w:sz w:val="28"/>
          <w:szCs w:val="28"/>
          <w:highlight w:val="none"/>
          <w:u w:val="none"/>
          <w:lang w:val="en-US" w:eastAsia="zh-CN"/>
        </w:rPr>
        <w:t>区域</w:t>
      </w:r>
    </w:p>
    <w:p w14:paraId="4F773120">
      <w:pPr>
        <w:keepNext w:val="0"/>
        <w:keepLines w:val="0"/>
        <w:pageBreakBefore w:val="0"/>
        <w:widowControl/>
        <w:kinsoku w:val="0"/>
        <w:wordWrap/>
        <w:overflowPunct/>
        <w:topLinePunct w:val="0"/>
        <w:autoSpaceDE w:val="0"/>
        <w:autoSpaceDN w:val="0"/>
        <w:bidi w:val="0"/>
        <w:adjustRightInd w:val="0"/>
        <w:snapToGrid w:val="0"/>
        <w:spacing w:line="560" w:lineRule="exact"/>
        <w:ind w:firstLine="1120" w:firstLineChars="4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餐饮服务区域：</w:t>
      </w:r>
    </w:p>
    <w:p w14:paraId="7A9DB9C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二、</w:t>
      </w:r>
      <w:r>
        <w:rPr>
          <w:rFonts w:hint="eastAsia" w:ascii="仿宋" w:hAnsi="仿宋" w:eastAsia="仿宋" w:cs="仿宋"/>
          <w:bCs/>
          <w:color w:val="auto"/>
          <w:sz w:val="28"/>
          <w:szCs w:val="28"/>
          <w:highlight w:val="none"/>
          <w:u w:val="none"/>
        </w:rPr>
        <w:t>服务</w:t>
      </w:r>
      <w:r>
        <w:rPr>
          <w:rFonts w:hint="eastAsia" w:ascii="仿宋" w:hAnsi="仿宋" w:eastAsia="仿宋" w:cs="仿宋"/>
          <w:bCs/>
          <w:color w:val="auto"/>
          <w:sz w:val="28"/>
          <w:szCs w:val="28"/>
          <w:highlight w:val="none"/>
          <w:u w:val="none"/>
          <w:lang w:val="en-US" w:eastAsia="zh-CN"/>
        </w:rPr>
        <w:t>要求</w:t>
      </w:r>
      <w:r>
        <w:rPr>
          <w:rFonts w:hint="eastAsia" w:ascii="仿宋" w:hAnsi="仿宋" w:eastAsia="仿宋" w:cs="仿宋"/>
          <w:bCs/>
          <w:color w:val="auto"/>
          <w:sz w:val="28"/>
          <w:szCs w:val="28"/>
          <w:highlight w:val="none"/>
          <w:u w:val="none"/>
        </w:rPr>
        <w:t>：</w:t>
      </w:r>
    </w:p>
    <w:p w14:paraId="61A2DD3E">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总体服务要求</w:t>
      </w:r>
    </w:p>
    <w:p w14:paraId="749A8FA5">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1）</w:t>
      </w:r>
    </w:p>
    <w:p w14:paraId="4C2FF707">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2）</w:t>
      </w:r>
    </w:p>
    <w:p w14:paraId="5AFB2328">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3）</w:t>
      </w:r>
    </w:p>
    <w:p w14:paraId="6ACFC8A7">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餐饮服务</w:t>
      </w:r>
    </w:p>
    <w:p w14:paraId="3EFDAE7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供餐模式：</w:t>
      </w:r>
    </w:p>
    <w:p w14:paraId="03129E0A">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供餐时间：工作日早中两餐</w:t>
      </w: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rPr>
        <w:t>早餐供应时间：8:10——8:5</w:t>
      </w:r>
      <w:r>
        <w:rPr>
          <w:rFonts w:hint="eastAsia" w:ascii="仿宋" w:hAnsi="仿宋" w:eastAsia="仿宋" w:cs="仿宋"/>
          <w:bCs/>
          <w:color w:val="auto"/>
          <w:sz w:val="28"/>
          <w:szCs w:val="28"/>
          <w:highlight w:val="none"/>
          <w:u w:val="none"/>
          <w:lang w:val="en-US" w:eastAsia="zh-CN"/>
        </w:rPr>
        <w:t>0，</w:t>
      </w:r>
      <w:r>
        <w:rPr>
          <w:rFonts w:hint="eastAsia" w:ascii="仿宋" w:hAnsi="仿宋" w:eastAsia="仿宋" w:cs="仿宋"/>
          <w:bCs/>
          <w:color w:val="auto"/>
          <w:sz w:val="28"/>
          <w:szCs w:val="28"/>
          <w:highlight w:val="none"/>
          <w:u w:val="none"/>
        </w:rPr>
        <w:t>午餐供应时间：12:00——13:00；</w:t>
      </w:r>
    </w:p>
    <w:p w14:paraId="40705BED">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eastAsia="zh-CN"/>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供餐内容：早餐供应：菜品不少于4种，开胃小菜不少于2种，馒头、包子、花卷、油饼、油条等主食不少于2种，稀饭、豆腐脑、豆浆、牛奶、油茶、胡辣汤等汤品类主食不少于2种，煮鸡蛋、茶叶蛋、煎鸡蛋每日早餐不少于两种；午餐供应：炒菜菜品不少于4种（其中纯荤菜1种、荤素搭配菜2种、素菜1种），杂粮不少于1种，中西点不少于1种，主食不少于2种、 汤品不少于2种、水果或酸奶不少于1种。法定节假日根据甲方需求提供不少于30人的工作餐（早餐和午餐）</w:t>
      </w:r>
      <w:r>
        <w:rPr>
          <w:rFonts w:hint="eastAsia" w:ascii="仿宋" w:hAnsi="仿宋" w:eastAsia="仿宋" w:cs="仿宋"/>
          <w:bCs/>
          <w:color w:val="auto"/>
          <w:sz w:val="28"/>
          <w:szCs w:val="28"/>
          <w:highlight w:val="none"/>
          <w:u w:val="none"/>
          <w:lang w:eastAsia="zh-CN"/>
        </w:rPr>
        <w:t>。</w:t>
      </w:r>
    </w:p>
    <w:p w14:paraId="274B5F16">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餐厅食材采购（包含主、副食等全部食材，调味品等，费用包含在服务费中，由供应商负责采购），食材和库房管理工作；</w:t>
      </w:r>
    </w:p>
    <w:p w14:paraId="67486113">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5）</w:t>
      </w:r>
      <w:r>
        <w:rPr>
          <w:rFonts w:hint="eastAsia" w:ascii="仿宋" w:hAnsi="仿宋" w:eastAsia="仿宋" w:cs="仿宋"/>
          <w:bCs/>
          <w:color w:val="auto"/>
          <w:sz w:val="28"/>
          <w:szCs w:val="28"/>
          <w:highlight w:val="none"/>
          <w:u w:val="none"/>
        </w:rPr>
        <w:t>根据《财政部农业农村部国家乡村振兴局关于运用政府采购政策支持乡村产业振兴的通知》（财库〔2021〕19号）要求，供应商应承诺食堂食材采购份额不低于10%通过脱贫地区农副产品网络销售平台（832平台）采购脱贫地区农副产品；</w:t>
      </w:r>
    </w:p>
    <w:p w14:paraId="6FC98A49">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6）负责食堂食品卫生安全等工作；</w:t>
      </w:r>
    </w:p>
    <w:p w14:paraId="158ACB05">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（7）采购人负责场地内的水、电、气等能耗费用；</w:t>
      </w:r>
    </w:p>
    <w:p w14:paraId="335A742C">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（8）饭菜的加工、制作要严格按照《国家食品安全法》要求进行，确保食品卫生安全。严格按安全操作规程使用、保管设备、设施。如饭菜质量出现食品卫生安全问题，要承担相应的法律责任。</w:t>
      </w:r>
    </w:p>
    <w:p w14:paraId="257816A2">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三、</w:t>
      </w:r>
      <w:r>
        <w:rPr>
          <w:rFonts w:hint="eastAsia" w:ascii="仿宋" w:hAnsi="仿宋" w:eastAsia="仿宋" w:cs="仿宋"/>
          <w:bCs/>
          <w:color w:val="auto"/>
          <w:sz w:val="28"/>
          <w:szCs w:val="28"/>
          <w:highlight w:val="none"/>
          <w:u w:val="none"/>
        </w:rPr>
        <w:t>服务期：一年</w:t>
      </w:r>
    </w:p>
    <w:p w14:paraId="40D08ED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四</w:t>
      </w:r>
      <w:r>
        <w:rPr>
          <w:rFonts w:hint="eastAsia" w:ascii="仿宋" w:hAnsi="仿宋" w:eastAsia="仿宋" w:cs="仿宋"/>
          <w:bCs/>
          <w:color w:val="auto"/>
          <w:sz w:val="28"/>
          <w:szCs w:val="28"/>
          <w:highlight w:val="none"/>
          <w:u w:val="none"/>
        </w:rPr>
        <w:t>、合同价款</w:t>
      </w:r>
    </w:p>
    <w:p w14:paraId="6C4F69B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本合同总价款为人民币</w:t>
      </w:r>
      <w:r>
        <w:rPr>
          <w:rFonts w:hint="eastAsia" w:ascii="仿宋" w:hAnsi="仿宋" w:eastAsia="仿宋" w:cs="仿宋"/>
          <w:bCs/>
          <w:color w:val="auto"/>
          <w:sz w:val="28"/>
          <w:szCs w:val="28"/>
          <w:highlight w:val="none"/>
          <w:u w:val="none"/>
          <w:lang w:val="en-US" w:eastAsia="zh-CN"/>
        </w:rPr>
        <w:t xml:space="preserve">       </w:t>
      </w:r>
      <w:r>
        <w:rPr>
          <w:rFonts w:hint="eastAsia" w:ascii="仿宋" w:hAnsi="仿宋" w:eastAsia="仿宋" w:cs="仿宋"/>
          <w:bCs/>
          <w:color w:val="auto"/>
          <w:sz w:val="28"/>
          <w:szCs w:val="28"/>
          <w:highlight w:val="none"/>
          <w:u w:val="none"/>
        </w:rPr>
        <w:t>（小写</w:t>
      </w: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 xml:space="preserve">       ）</w:t>
      </w:r>
      <w:r>
        <w:rPr>
          <w:rFonts w:hint="eastAsia" w:ascii="仿宋" w:hAnsi="仿宋" w:eastAsia="仿宋" w:cs="仿宋"/>
          <w:bCs/>
          <w:color w:val="auto"/>
          <w:sz w:val="28"/>
          <w:szCs w:val="28"/>
          <w:highlight w:val="none"/>
          <w:u w:val="none"/>
        </w:rPr>
        <w:t>。合同履行期间，合同总价固定不变，不受市场价格变化因素的影响。</w:t>
      </w:r>
    </w:p>
    <w:p w14:paraId="2FBDB19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总报价包括完成本项目</w:t>
      </w:r>
      <w:r>
        <w:rPr>
          <w:rFonts w:hint="eastAsia" w:ascii="仿宋" w:hAnsi="仿宋" w:eastAsia="仿宋" w:cs="仿宋"/>
          <w:bCs/>
          <w:color w:val="auto"/>
          <w:sz w:val="28"/>
          <w:szCs w:val="28"/>
          <w:highlight w:val="none"/>
          <w:u w:val="none"/>
          <w:lang w:val="en-US" w:eastAsia="zh-CN"/>
        </w:rPr>
        <w:t>本项目的所有费用。包括但不限于：</w:t>
      </w:r>
      <w:r>
        <w:rPr>
          <w:rFonts w:hint="eastAsia" w:ascii="仿宋" w:hAnsi="仿宋" w:eastAsia="仿宋" w:cs="仿宋"/>
          <w:bCs/>
          <w:color w:val="auto"/>
          <w:sz w:val="28"/>
          <w:szCs w:val="28"/>
          <w:highlight w:val="none"/>
          <w:u w:val="none"/>
        </w:rPr>
        <w:t>员工工资和社保、医保等福利待遇及意外保险</w:t>
      </w:r>
      <w:r>
        <w:rPr>
          <w:rFonts w:hint="eastAsia" w:ascii="仿宋" w:hAnsi="仿宋" w:eastAsia="仿宋" w:cs="仿宋"/>
          <w:bCs/>
          <w:color w:val="auto"/>
          <w:sz w:val="28"/>
          <w:szCs w:val="28"/>
          <w:highlight w:val="none"/>
          <w:u w:val="none"/>
          <w:lang w:val="en-US" w:eastAsia="zh-CN"/>
        </w:rPr>
        <w:t>等</w:t>
      </w:r>
      <w:r>
        <w:rPr>
          <w:rFonts w:hint="eastAsia" w:ascii="仿宋" w:hAnsi="仿宋" w:eastAsia="仿宋" w:cs="仿宋"/>
          <w:bCs/>
          <w:color w:val="auto"/>
          <w:sz w:val="28"/>
          <w:szCs w:val="28"/>
          <w:highlight w:val="none"/>
          <w:u w:val="none"/>
        </w:rPr>
        <w:t>。</w:t>
      </w:r>
      <w:r>
        <w:rPr>
          <w:rFonts w:hint="eastAsia" w:ascii="仿宋" w:hAnsi="仿宋" w:eastAsia="仿宋" w:cs="仿宋"/>
          <w:bCs/>
          <w:color w:val="auto"/>
          <w:sz w:val="28"/>
          <w:szCs w:val="28"/>
          <w:highlight w:val="none"/>
          <w:u w:val="none"/>
          <w:lang w:eastAsia="zh-CN"/>
        </w:rPr>
        <w:t>甲方</w:t>
      </w:r>
      <w:r>
        <w:rPr>
          <w:rFonts w:hint="eastAsia" w:ascii="仿宋" w:hAnsi="仿宋" w:eastAsia="仿宋" w:cs="仿宋"/>
          <w:bCs/>
          <w:color w:val="auto"/>
          <w:sz w:val="28"/>
          <w:szCs w:val="28"/>
          <w:highlight w:val="none"/>
          <w:u w:val="none"/>
        </w:rPr>
        <w:t>不再额外承担其他任何费用。</w:t>
      </w:r>
    </w:p>
    <w:p w14:paraId="3D014AB3">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五</w:t>
      </w:r>
      <w:r>
        <w:rPr>
          <w:rFonts w:hint="eastAsia" w:ascii="仿宋" w:hAnsi="仿宋" w:eastAsia="仿宋" w:cs="仿宋"/>
          <w:bCs/>
          <w:color w:val="auto"/>
          <w:sz w:val="28"/>
          <w:szCs w:val="28"/>
          <w:highlight w:val="none"/>
          <w:u w:val="none"/>
        </w:rPr>
        <w:t>、款项结算</w:t>
      </w:r>
    </w:p>
    <w:p w14:paraId="5953A80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付款进度：按季度支付，每季度结束前，甲方根据乙方本季度的评价结果支付该季度费用，连续两个季度评价结果为“好”等次的，可以提前支付第三季度费用，第四季度费用于202</w:t>
      </w:r>
      <w:r>
        <w:rPr>
          <w:rFonts w:hint="eastAsia" w:ascii="仿宋" w:hAnsi="仿宋" w:eastAsia="仿宋" w:cs="仿宋"/>
          <w:bCs/>
          <w:color w:val="auto"/>
          <w:sz w:val="28"/>
          <w:szCs w:val="28"/>
          <w:highlight w:val="none"/>
          <w:u w:val="none"/>
          <w:lang w:val="en-US" w:eastAsia="zh-CN"/>
        </w:rPr>
        <w:t>7</w:t>
      </w:r>
      <w:r>
        <w:rPr>
          <w:rFonts w:hint="eastAsia" w:ascii="仿宋" w:hAnsi="仿宋" w:eastAsia="仿宋" w:cs="仿宋"/>
          <w:bCs/>
          <w:color w:val="auto"/>
          <w:sz w:val="28"/>
          <w:szCs w:val="28"/>
          <w:highlight w:val="none"/>
          <w:u w:val="none"/>
        </w:rPr>
        <w:t>年6月底前完成支付</w:t>
      </w:r>
      <w:r>
        <w:rPr>
          <w:rFonts w:hint="eastAsia" w:ascii="仿宋" w:hAnsi="仿宋" w:eastAsia="仿宋" w:cs="仿宋"/>
          <w:bCs/>
          <w:color w:val="auto"/>
          <w:sz w:val="28"/>
          <w:szCs w:val="28"/>
          <w:highlight w:val="none"/>
          <w:u w:val="none"/>
          <w:lang w:val="en-US" w:eastAsia="zh-CN"/>
        </w:rPr>
        <w:t>。</w:t>
      </w:r>
    </w:p>
    <w:p w14:paraId="6FFB26A1">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支付方式：银行转账。</w:t>
      </w:r>
      <w:bookmarkStart w:id="5" w:name="_GoBack"/>
      <w:bookmarkEnd w:id="5"/>
    </w:p>
    <w:p w14:paraId="55C2995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eastAsia="zh-CN"/>
        </w:rPr>
      </w:pPr>
      <w:r>
        <w:rPr>
          <w:rFonts w:hint="eastAsia" w:ascii="仿宋" w:hAnsi="仿宋" w:eastAsia="仿宋" w:cs="仿宋"/>
          <w:bCs/>
          <w:color w:val="auto"/>
          <w:sz w:val="28"/>
          <w:szCs w:val="28"/>
          <w:highlight w:val="none"/>
          <w:u w:val="none"/>
        </w:rPr>
        <w:t>名称：</w:t>
      </w:r>
    </w:p>
    <w:p w14:paraId="0153A59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eastAsia="zh-CN"/>
        </w:rPr>
      </w:pPr>
      <w:r>
        <w:rPr>
          <w:rFonts w:hint="eastAsia" w:ascii="仿宋" w:hAnsi="仿宋" w:eastAsia="仿宋" w:cs="仿宋"/>
          <w:bCs/>
          <w:color w:val="auto"/>
          <w:sz w:val="28"/>
          <w:szCs w:val="28"/>
          <w:highlight w:val="none"/>
          <w:u w:val="none"/>
        </w:rPr>
        <w:t>开户行：</w:t>
      </w:r>
    </w:p>
    <w:p w14:paraId="6B70CD5E">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eastAsia="zh-CN"/>
        </w:rPr>
      </w:pPr>
      <w:r>
        <w:rPr>
          <w:rFonts w:hint="eastAsia" w:ascii="仿宋" w:hAnsi="仿宋" w:eastAsia="仿宋" w:cs="仿宋"/>
          <w:bCs/>
          <w:color w:val="auto"/>
          <w:sz w:val="28"/>
          <w:szCs w:val="28"/>
          <w:highlight w:val="none"/>
          <w:u w:val="none"/>
        </w:rPr>
        <w:t>账号：</w:t>
      </w:r>
    </w:p>
    <w:p w14:paraId="3546D722">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甲方仅认可上述指定账户并向该账户付款。否则甲方有权拒绝向指定账户之外的任何账户付款，并且由此导致的付款延迟责任由乙方承担。</w:t>
      </w:r>
    </w:p>
    <w:p w14:paraId="363C721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结算方式：乙方如实开具发票，不得变更开票内容，乙方开具发票出现税务争议时，乙方需承担税款、滞纳金、罚款等赔偿责任以及其他相关责任。</w:t>
      </w:r>
    </w:p>
    <w:p w14:paraId="3BD5F78C">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六</w:t>
      </w:r>
      <w:r>
        <w:rPr>
          <w:rFonts w:hint="eastAsia" w:ascii="仿宋" w:hAnsi="仿宋" w:eastAsia="仿宋" w:cs="仿宋"/>
          <w:bCs/>
          <w:color w:val="auto"/>
          <w:sz w:val="28"/>
          <w:szCs w:val="28"/>
          <w:highlight w:val="none"/>
          <w:u w:val="none"/>
        </w:rPr>
        <w:t>、双方的权利和义务</w:t>
      </w:r>
    </w:p>
    <w:p w14:paraId="1CD59FC2">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甲方权利义务：</w:t>
      </w:r>
    </w:p>
    <w:p w14:paraId="2DD7DC0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对本项目实施监管和指导。</w:t>
      </w:r>
    </w:p>
    <w:p w14:paraId="2E43339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甲方负责按照本合同约定的指标考核乙方，具体考核的方式及内容由甲方决定。</w:t>
      </w:r>
    </w:p>
    <w:p w14:paraId="6F746D43">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乙方进场服务人员上岗前需经过甲方确认，甲方有权对人员提出调整要求，乙方需积极配合。</w:t>
      </w:r>
    </w:p>
    <w:p w14:paraId="78FAE7D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乙方的餐饮服务方案经甲方审核通过后方可实施。</w:t>
      </w:r>
    </w:p>
    <w:p w14:paraId="3873A757">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乙方权利义务：</w:t>
      </w:r>
    </w:p>
    <w:p w14:paraId="4DC5691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要求甲方为本合同标的的服务工作开展提供必要的资料和便利。</w:t>
      </w:r>
    </w:p>
    <w:p w14:paraId="5A10FEFD">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要求甲方按本合同约定支付合同款项。</w:t>
      </w:r>
    </w:p>
    <w:p w14:paraId="16F882E1">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乙方不得擅自将本合同委托事项转委托/转包/分包给第三方。</w:t>
      </w:r>
    </w:p>
    <w:p w14:paraId="62373567">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乙方负责合同中的从业人员及财产意外伤害、死亡或损失均由乙方自行承担所有费用和相应责任，与甲方无任何法律责任和经济责任。</w:t>
      </w:r>
    </w:p>
    <w:p w14:paraId="3295BB36">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5）</w:t>
      </w:r>
      <w:r>
        <w:rPr>
          <w:rFonts w:hint="eastAsia" w:ascii="仿宋" w:hAnsi="仿宋" w:eastAsia="仿宋" w:cs="仿宋"/>
          <w:bCs/>
          <w:color w:val="auto"/>
          <w:sz w:val="28"/>
          <w:szCs w:val="28"/>
          <w:highlight w:val="none"/>
          <w:u w:val="none"/>
        </w:rPr>
        <w:t>乙方统一为员工配置岗位相一致的服装，保证所有员工在上班期间服装规范、整洁，保持良好的形象。</w:t>
      </w:r>
    </w:p>
    <w:p w14:paraId="406031CF">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七</w:t>
      </w:r>
      <w:r>
        <w:rPr>
          <w:rFonts w:hint="eastAsia" w:ascii="仿宋" w:hAnsi="仿宋" w:eastAsia="仿宋" w:cs="仿宋"/>
          <w:bCs/>
          <w:color w:val="auto"/>
          <w:sz w:val="28"/>
          <w:szCs w:val="28"/>
          <w:highlight w:val="none"/>
          <w:u w:val="none"/>
        </w:rPr>
        <w:t>、知识产权及承诺</w:t>
      </w:r>
    </w:p>
    <w:p w14:paraId="72E75C6D">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乙方保证所提供的服务或其任何一部分均不会侵犯任何第三方的专利权、商标权、著作权或其他合法权益，否则视为乙方违约，由此产生的一切损失由乙方承担。</w:t>
      </w:r>
    </w:p>
    <w:p w14:paraId="1C98ABDB">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经甲乙双方协商一致，本项目产生的知识产权归甲方拥有。</w:t>
      </w:r>
    </w:p>
    <w:p w14:paraId="74E91D5C">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八</w:t>
      </w:r>
      <w:r>
        <w:rPr>
          <w:rFonts w:hint="eastAsia" w:ascii="仿宋" w:hAnsi="仿宋" w:eastAsia="仿宋" w:cs="仿宋"/>
          <w:bCs/>
          <w:color w:val="auto"/>
          <w:sz w:val="28"/>
          <w:szCs w:val="28"/>
          <w:highlight w:val="none"/>
          <w:u w:val="none"/>
        </w:rPr>
        <w:t>、质量保证</w:t>
      </w:r>
    </w:p>
    <w:p w14:paraId="206D344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乙方应提供详细的服务标准和服务承诺，服务标准应当符合国家、行业和地方相关服务标准。</w:t>
      </w:r>
    </w:p>
    <w:p w14:paraId="3561DCE5">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在服务期限内，遵循零干扰服务。乙方不得干扰或阻碍甲方对该办公区域和公共区域的正常使用。</w:t>
      </w:r>
    </w:p>
    <w:p w14:paraId="2941A15F">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乙方在提供服务时因维修、养护、管理不当或未尽义务，导致甲方或第三方人身损害或财产损失的，应承担全部责任和费用。</w:t>
      </w:r>
    </w:p>
    <w:p w14:paraId="5F021846">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乙方应严格履行投标文件中的承诺，不得随意减少，投标文件为本合同组成内容的一部分，同样具备合同效力。</w:t>
      </w:r>
    </w:p>
    <w:p w14:paraId="0A9A1CEF">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九</w:t>
      </w:r>
      <w:r>
        <w:rPr>
          <w:rFonts w:hint="eastAsia" w:ascii="仿宋" w:hAnsi="仿宋" w:eastAsia="仿宋" w:cs="仿宋"/>
          <w:bCs/>
          <w:color w:val="auto"/>
          <w:sz w:val="28"/>
          <w:szCs w:val="28"/>
          <w:highlight w:val="none"/>
          <w:u w:val="none"/>
        </w:rPr>
        <w:t>、验收</w:t>
      </w:r>
    </w:p>
    <w:p w14:paraId="05BBAEC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服务期满后，甲方根据招标文件和投标文件及相关文件，进行验收，确认服务标准和服务方式是否达到采购要求。</w:t>
      </w:r>
    </w:p>
    <w:p w14:paraId="27764AA3">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甲方组织乙方（必要时请有关专家）进行验收，验收合格后，填写政府采购项目验收单（一式伍份）作为对项目的最终认可。</w:t>
      </w:r>
    </w:p>
    <w:p w14:paraId="0C4F4AD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乙方向甲方提供服务过程中的所有资料，以便甲方日后管理。</w:t>
      </w:r>
    </w:p>
    <w:p w14:paraId="17B4E2CC">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验收依据：</w:t>
      </w:r>
    </w:p>
    <w:p w14:paraId="4C8792C4">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招标文件、投标文件、澄清表（函）；</w:t>
      </w:r>
    </w:p>
    <w:p w14:paraId="275DDB86">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本合同及附件文本；</w:t>
      </w:r>
    </w:p>
    <w:p w14:paraId="45AEF2CE">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eastAsia="zh-CN"/>
        </w:rPr>
        <w:t>（</w:t>
      </w: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国家相应的标准、规范。</w:t>
      </w:r>
    </w:p>
    <w:p w14:paraId="46B0774D">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十</w:t>
      </w:r>
      <w:r>
        <w:rPr>
          <w:rFonts w:hint="eastAsia" w:ascii="仿宋" w:hAnsi="仿宋" w:eastAsia="仿宋" w:cs="仿宋"/>
          <w:bCs/>
          <w:color w:val="auto"/>
          <w:sz w:val="28"/>
          <w:szCs w:val="28"/>
          <w:highlight w:val="none"/>
          <w:u w:val="none"/>
        </w:rPr>
        <w:t>、违约责任</w:t>
      </w:r>
    </w:p>
    <w:p w14:paraId="6F6CD7F8">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未按合同要求提供货物或货物质量不能满足合同要求，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61896405">
      <w:pPr>
        <w:keepNext w:val="0"/>
        <w:keepLines w:val="0"/>
        <w:pageBreakBefore w:val="0"/>
        <w:widowControl/>
        <w:kinsoku w:val="0"/>
        <w:wordWrap/>
        <w:overflowPunct/>
        <w:topLinePunct w:val="0"/>
        <w:autoSpaceDE w:val="0"/>
        <w:autoSpaceDN w:val="0"/>
        <w:bidi w:val="0"/>
        <w:adjustRightInd w:val="0"/>
        <w:snapToGrid w:val="0"/>
        <w:spacing w:line="560" w:lineRule="exact"/>
        <w:ind w:left="745" w:leftChars="266" w:firstLine="0" w:firstLineChars="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2、质量责任</w:t>
      </w:r>
    </w:p>
    <w:p w14:paraId="6B2B47D9">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乙方服务质量不符合招标文件、本合同或国家标准的，每发现一次扣减当期服务费 1% ；同一问题重复发生3次的，甲方有权终止合同。</w:t>
      </w:r>
    </w:p>
    <w:p w14:paraId="7D2CFB25">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745" w:leftChars="266" w:firstLine="0" w:firstLineChars="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转包/分包责任</w:t>
      </w:r>
    </w:p>
    <w:p w14:paraId="1E075F8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乙方擅自转包或分包的，甲方有权立即终止合同，乙方应支付合同总额 10% 的违约金，并赔偿甲方重新采购的差价损失。</w:t>
      </w:r>
    </w:p>
    <w:p w14:paraId="259A8B7F">
      <w:pPr>
        <w:keepNext w:val="0"/>
        <w:keepLines w:val="0"/>
        <w:pageBreakBefore w:val="0"/>
        <w:widowControl/>
        <w:kinsoku w:val="0"/>
        <w:wordWrap/>
        <w:overflowPunct/>
        <w:topLinePunct w:val="0"/>
        <w:autoSpaceDE w:val="0"/>
        <w:autoSpaceDN w:val="0"/>
        <w:bidi w:val="0"/>
        <w:adjustRightInd w:val="0"/>
        <w:snapToGrid w:val="0"/>
        <w:spacing w:line="560" w:lineRule="exact"/>
        <w:ind w:left="745" w:leftChars="266" w:firstLine="0" w:firstLineChars="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4、食品安全责任</w:t>
      </w:r>
      <w:r>
        <w:rPr>
          <w:rFonts w:hint="eastAsia" w:ascii="仿宋" w:hAnsi="仿宋" w:eastAsia="仿宋" w:cs="仿宋"/>
          <w:bCs/>
          <w:color w:val="auto"/>
          <w:sz w:val="28"/>
          <w:szCs w:val="28"/>
          <w:highlight w:val="none"/>
          <w:u w:val="none"/>
          <w:lang w:val="en-US" w:eastAsia="zh-CN"/>
        </w:rPr>
        <w:br w:type="textWrapping"/>
      </w:r>
      <w:r>
        <w:rPr>
          <w:rFonts w:hint="eastAsia" w:ascii="仿宋" w:hAnsi="仿宋" w:eastAsia="仿宋" w:cs="仿宋"/>
          <w:bCs/>
          <w:color w:val="auto"/>
          <w:sz w:val="28"/>
          <w:szCs w:val="28"/>
          <w:highlight w:val="none"/>
          <w:u w:val="none"/>
          <w:lang w:val="en-US" w:eastAsia="zh-CN"/>
        </w:rPr>
        <w:t>因乙方原因导致食物中毒或食源性疾病事件的：</w:t>
      </w:r>
    </w:p>
    <w:p w14:paraId="57C9075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（1）承担受害人的全部医疗费、误工费及赔偿金；</w:t>
      </w:r>
    </w:p>
    <w:p w14:paraId="26B59AF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lang w:val="en-US" w:eastAsia="zh-CN"/>
        </w:rPr>
      </w:pPr>
      <w:r>
        <w:rPr>
          <w:rFonts w:hint="eastAsia" w:ascii="仿宋" w:hAnsi="仿宋" w:eastAsia="仿宋" w:cs="仿宋"/>
          <w:bCs/>
          <w:color w:val="auto"/>
          <w:sz w:val="28"/>
          <w:szCs w:val="28"/>
          <w:highlight w:val="none"/>
          <w:u w:val="none"/>
          <w:lang w:val="en-US" w:eastAsia="zh-CN"/>
        </w:rPr>
        <w:t>（2）支付甲方 20万元/次 的惩罚性违约金；</w:t>
      </w:r>
    </w:p>
    <w:p w14:paraId="348ADF01">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（3）承担政府部门罚款及其他法律后果。</w:t>
      </w:r>
    </w:p>
    <w:p w14:paraId="2885C0D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left="630" w:leftChars="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十一、</w:t>
      </w:r>
      <w:r>
        <w:rPr>
          <w:rFonts w:hint="eastAsia" w:ascii="仿宋" w:hAnsi="仿宋" w:eastAsia="仿宋" w:cs="仿宋"/>
          <w:bCs/>
          <w:color w:val="auto"/>
          <w:sz w:val="28"/>
          <w:szCs w:val="28"/>
          <w:highlight w:val="none"/>
          <w:u w:val="none"/>
        </w:rPr>
        <w:t>合同的变更和修改、中止和终止</w:t>
      </w:r>
    </w:p>
    <w:p w14:paraId="4C76EF6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本合同一经生效，合同双方均不得擅自对本合同的内容（包括附件）作任何单方的修改。但任何一方均可以对合同内容以书面形式提出变更、修改、取消或补充的建议，经双方同意后，以补充协议方式由双方法定代表人或其授权代表签字后生效。</w:t>
      </w:r>
    </w:p>
    <w:p w14:paraId="3915159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甲方因乙方不履约或乙方其他原因而解除合同的，乙方须返还甲方全部费用、赔偿甲方由此产生的损失并承担其他相关责任，相应责任承担方式按照本合同第</w:t>
      </w:r>
      <w:r>
        <w:rPr>
          <w:rFonts w:hint="eastAsia" w:ascii="仿宋" w:hAnsi="仿宋" w:eastAsia="仿宋" w:cs="仿宋"/>
          <w:bCs/>
          <w:color w:val="auto"/>
          <w:sz w:val="28"/>
          <w:szCs w:val="28"/>
          <w:highlight w:val="none"/>
          <w:u w:val="none"/>
          <w:lang w:val="en-US" w:eastAsia="zh-CN"/>
        </w:rPr>
        <w:t>十</w:t>
      </w:r>
      <w:r>
        <w:rPr>
          <w:rFonts w:hint="eastAsia" w:ascii="仿宋" w:hAnsi="仿宋" w:eastAsia="仿宋" w:cs="仿宋"/>
          <w:bCs/>
          <w:color w:val="auto"/>
          <w:sz w:val="28"/>
          <w:szCs w:val="28"/>
          <w:highlight w:val="none"/>
          <w:u w:val="none"/>
        </w:rPr>
        <w:t>条约定执行。</w:t>
      </w:r>
    </w:p>
    <w:p w14:paraId="75E35E8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乙方因甲方不履约或甲方其他原因而解除合同的，乙方不予返还甲方已付乙方已提供相应服务的费用款项，甲方赔偿乙方由此产生的损失并承担其他相关责任。</w:t>
      </w:r>
    </w:p>
    <w:p w14:paraId="72038A9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十</w:t>
      </w:r>
      <w:r>
        <w:rPr>
          <w:rFonts w:hint="eastAsia" w:ascii="仿宋" w:hAnsi="仿宋" w:eastAsia="仿宋" w:cs="仿宋"/>
          <w:bCs/>
          <w:color w:val="auto"/>
          <w:sz w:val="28"/>
          <w:szCs w:val="28"/>
          <w:highlight w:val="none"/>
          <w:u w:val="none"/>
          <w:lang w:val="en-US" w:eastAsia="zh-CN"/>
        </w:rPr>
        <w:t>二</w:t>
      </w:r>
      <w:r>
        <w:rPr>
          <w:rFonts w:hint="eastAsia" w:ascii="仿宋" w:hAnsi="仿宋" w:eastAsia="仿宋" w:cs="仿宋"/>
          <w:bCs/>
          <w:color w:val="auto"/>
          <w:sz w:val="28"/>
          <w:szCs w:val="28"/>
          <w:highlight w:val="none"/>
          <w:u w:val="none"/>
        </w:rPr>
        <w:t>、保密条款</w:t>
      </w:r>
    </w:p>
    <w:p w14:paraId="1CBC42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乙方应遵守国家有关保密的法律法规和行业规定，并对甲方提供的资料负有保密义务。</w:t>
      </w:r>
    </w:p>
    <w:p w14:paraId="2B451E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本条款为独立条款，本合同的无效、变更、解除和终止均不影响本条款的效力。</w:t>
      </w:r>
    </w:p>
    <w:p w14:paraId="402E549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十</w:t>
      </w:r>
      <w:r>
        <w:rPr>
          <w:rFonts w:hint="eastAsia" w:ascii="仿宋" w:hAnsi="仿宋" w:eastAsia="仿宋" w:cs="仿宋"/>
          <w:bCs/>
          <w:color w:val="auto"/>
          <w:sz w:val="28"/>
          <w:szCs w:val="28"/>
          <w:highlight w:val="none"/>
          <w:u w:val="none"/>
          <w:lang w:val="en-US" w:eastAsia="zh-CN"/>
        </w:rPr>
        <w:t>三</w:t>
      </w:r>
      <w:r>
        <w:rPr>
          <w:rFonts w:hint="eastAsia" w:ascii="仿宋" w:hAnsi="仿宋" w:eastAsia="仿宋" w:cs="仿宋"/>
          <w:bCs/>
          <w:color w:val="auto"/>
          <w:sz w:val="28"/>
          <w:szCs w:val="28"/>
          <w:highlight w:val="none"/>
          <w:u w:val="none"/>
        </w:rPr>
        <w:t>、争议解决</w:t>
      </w:r>
    </w:p>
    <w:p w14:paraId="428CB54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在执行本合同中发生的或与本合同有关的争端，双方应通过友好协商解决，经协商在15个日历日内不能达成协议时，则向甲方所在地有管辖权的人民法院提起诉讼解决争议；</w:t>
      </w:r>
    </w:p>
    <w:p w14:paraId="00E97B1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在诉讼期间，本合同应继续履行。</w:t>
      </w:r>
    </w:p>
    <w:p w14:paraId="33837E3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十</w:t>
      </w:r>
      <w:r>
        <w:rPr>
          <w:rFonts w:hint="eastAsia" w:ascii="仿宋" w:hAnsi="仿宋" w:eastAsia="仿宋" w:cs="仿宋"/>
          <w:bCs/>
          <w:color w:val="auto"/>
          <w:sz w:val="28"/>
          <w:szCs w:val="28"/>
          <w:highlight w:val="none"/>
          <w:u w:val="none"/>
          <w:lang w:val="en-US" w:eastAsia="zh-CN"/>
        </w:rPr>
        <w:t>四</w:t>
      </w:r>
      <w:r>
        <w:rPr>
          <w:rFonts w:hint="eastAsia" w:ascii="仿宋" w:hAnsi="仿宋" w:eastAsia="仿宋" w:cs="仿宋"/>
          <w:bCs/>
          <w:color w:val="auto"/>
          <w:sz w:val="28"/>
          <w:szCs w:val="28"/>
          <w:highlight w:val="none"/>
          <w:u w:val="none"/>
        </w:rPr>
        <w:t>、不可抗力</w:t>
      </w:r>
    </w:p>
    <w:p w14:paraId="20723D1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不可抗力是指合同签字后发生的非甲乙双方所能控制的、并非合同方过失的、无法中止的、不能预防的事件，包括战争、地震等重大自然灾害、重大公共卫生紧急事件、或者法律法规变动等。双方互不负违约责任。</w:t>
      </w:r>
    </w:p>
    <w:p w14:paraId="4EC3EB4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7945E21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当不可抗力发生后，如果服务并未因此中断或受到影响的，则就本合同执行来说，视为不可抗力未发生。</w:t>
      </w:r>
    </w:p>
    <w:p w14:paraId="3D0F19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4、</w:t>
      </w:r>
      <w:r>
        <w:rPr>
          <w:rFonts w:hint="eastAsia" w:ascii="仿宋" w:hAnsi="仿宋" w:eastAsia="仿宋" w:cs="仿宋"/>
          <w:bCs/>
          <w:color w:val="auto"/>
          <w:sz w:val="28"/>
          <w:szCs w:val="28"/>
          <w:highlight w:val="none"/>
          <w:u w:val="none"/>
        </w:rPr>
        <w:t>不可抗力事件延续15个日历日以上，双方应通过友好协商，确定是否继续履行合同。</w:t>
      </w:r>
    </w:p>
    <w:p w14:paraId="25946DB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rPr>
        <w:t>十</w:t>
      </w:r>
      <w:r>
        <w:rPr>
          <w:rFonts w:hint="eastAsia" w:ascii="仿宋" w:hAnsi="仿宋" w:eastAsia="仿宋" w:cs="仿宋"/>
          <w:bCs/>
          <w:color w:val="auto"/>
          <w:sz w:val="28"/>
          <w:szCs w:val="28"/>
          <w:highlight w:val="none"/>
          <w:u w:val="none"/>
          <w:lang w:val="en-US" w:eastAsia="zh-CN"/>
        </w:rPr>
        <w:t>五</w:t>
      </w:r>
      <w:r>
        <w:rPr>
          <w:rFonts w:hint="eastAsia" w:ascii="仿宋" w:hAnsi="仿宋" w:eastAsia="仿宋" w:cs="仿宋"/>
          <w:bCs/>
          <w:color w:val="auto"/>
          <w:sz w:val="28"/>
          <w:szCs w:val="28"/>
          <w:highlight w:val="none"/>
          <w:u w:val="none"/>
        </w:rPr>
        <w:t>、合同生效及其他</w:t>
      </w:r>
    </w:p>
    <w:p w14:paraId="56B4F10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1、</w:t>
      </w:r>
      <w:r>
        <w:rPr>
          <w:rFonts w:hint="eastAsia" w:ascii="仿宋" w:hAnsi="仿宋" w:eastAsia="仿宋" w:cs="仿宋"/>
          <w:bCs/>
          <w:color w:val="auto"/>
          <w:sz w:val="28"/>
          <w:szCs w:val="28"/>
          <w:highlight w:val="none"/>
          <w:u w:val="none"/>
        </w:rPr>
        <w:t>本合同自签订之日起生效。</w:t>
      </w:r>
    </w:p>
    <w:p w14:paraId="7C2D62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2、</w:t>
      </w:r>
      <w:r>
        <w:rPr>
          <w:rFonts w:hint="eastAsia" w:ascii="仿宋" w:hAnsi="仿宋" w:eastAsia="仿宋" w:cs="仿宋"/>
          <w:bCs/>
          <w:color w:val="auto"/>
          <w:sz w:val="28"/>
          <w:szCs w:val="28"/>
          <w:highlight w:val="none"/>
          <w:u w:val="none"/>
        </w:rPr>
        <w:t>合同一式4份，甲方、乙方各执2份。</w:t>
      </w:r>
    </w:p>
    <w:p w14:paraId="0B5EBB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r>
        <w:rPr>
          <w:rFonts w:hint="eastAsia" w:ascii="仿宋" w:hAnsi="仿宋" w:eastAsia="仿宋" w:cs="仿宋"/>
          <w:bCs/>
          <w:color w:val="auto"/>
          <w:sz w:val="28"/>
          <w:szCs w:val="28"/>
          <w:highlight w:val="none"/>
          <w:u w:val="none"/>
          <w:lang w:val="en-US" w:eastAsia="zh-CN"/>
        </w:rPr>
        <w:t>3、</w:t>
      </w:r>
      <w:r>
        <w:rPr>
          <w:rFonts w:hint="eastAsia" w:ascii="仿宋" w:hAnsi="仿宋" w:eastAsia="仿宋" w:cs="仿宋"/>
          <w:bCs/>
          <w:color w:val="auto"/>
          <w:sz w:val="28"/>
          <w:szCs w:val="28"/>
          <w:highlight w:val="none"/>
          <w:u w:val="none"/>
        </w:rPr>
        <w:t>未尽事宜由双方在签订合同时具体明确或签订补充合同。</w:t>
      </w:r>
    </w:p>
    <w:p w14:paraId="7D18A98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仿宋" w:hAnsi="仿宋" w:eastAsia="仿宋" w:cs="仿宋"/>
          <w:bCs/>
          <w:color w:val="auto"/>
          <w:sz w:val="28"/>
          <w:szCs w:val="28"/>
          <w:highlight w:val="none"/>
          <w:u w:val="none"/>
        </w:rPr>
      </w:pPr>
    </w:p>
    <w:tbl>
      <w:tblPr>
        <w:tblStyle w:val="14"/>
        <w:tblW w:w="4999" w:type="pct"/>
        <w:jc w:val="center"/>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Layout w:type="autofit"/>
        <w:tblCellMar>
          <w:top w:w="0" w:type="dxa"/>
          <w:left w:w="0" w:type="dxa"/>
          <w:bottom w:w="0" w:type="dxa"/>
          <w:right w:w="0" w:type="dxa"/>
        </w:tblCellMar>
      </w:tblPr>
      <w:tblGrid>
        <w:gridCol w:w="4500"/>
        <w:gridCol w:w="3804"/>
      </w:tblGrid>
      <w:tr w14:paraId="52D33F52">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94" w:hRule="atLeast"/>
          <w:jc w:val="center"/>
        </w:trPr>
        <w:tc>
          <w:tcPr>
            <w:tcW w:w="2709" w:type="pct"/>
          </w:tcPr>
          <w:p w14:paraId="6E8CE60E">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甲方（盖章）：</w:t>
            </w:r>
            <w:r>
              <w:rPr>
                <w:rFonts w:hint="eastAsia" w:ascii="仿宋" w:hAnsi="仿宋" w:eastAsia="仿宋" w:cs="仿宋"/>
                <w:color w:val="auto"/>
                <w:sz w:val="28"/>
                <w:szCs w:val="28"/>
                <w:highlight w:val="none"/>
                <w:lang w:val="en-US" w:eastAsia="zh-CN"/>
              </w:rPr>
              <w:t>西</w:t>
            </w:r>
            <w:r>
              <w:rPr>
                <w:rFonts w:hint="eastAsia" w:ascii="仿宋" w:hAnsi="仿宋" w:eastAsia="仿宋" w:cs="仿宋"/>
                <w:bCs/>
                <w:color w:val="auto"/>
                <w:sz w:val="28"/>
                <w:szCs w:val="28"/>
                <w:highlight w:val="none"/>
                <w:u w:val="none"/>
                <w:lang w:eastAsia="zh-CN"/>
              </w:rPr>
              <w:t>安市工商行政管理局旅游市场监督管理分局</w:t>
            </w:r>
          </w:p>
        </w:tc>
        <w:tc>
          <w:tcPr>
            <w:tcW w:w="2290" w:type="pct"/>
          </w:tcPr>
          <w:p w14:paraId="126CFACA">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乙方（盖章）：</w:t>
            </w:r>
          </w:p>
        </w:tc>
      </w:tr>
      <w:tr w14:paraId="598C224A">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652" w:hRule="atLeast"/>
          <w:jc w:val="center"/>
        </w:trPr>
        <w:tc>
          <w:tcPr>
            <w:tcW w:w="2709" w:type="pct"/>
          </w:tcPr>
          <w:p w14:paraId="0B8C0CFC">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val="zh-CN"/>
              </w:rPr>
              <w:t>西安市碑林区友谊东路298号</w:t>
            </w:r>
          </w:p>
        </w:tc>
        <w:tc>
          <w:tcPr>
            <w:tcW w:w="2290" w:type="pct"/>
          </w:tcPr>
          <w:p w14:paraId="651C7FC7">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r>
      <w:tr w14:paraId="79F56C64">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654" w:hRule="atLeast"/>
          <w:jc w:val="center"/>
        </w:trPr>
        <w:tc>
          <w:tcPr>
            <w:tcW w:w="2709" w:type="pct"/>
          </w:tcPr>
          <w:p w14:paraId="5B6112D3">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代表人（签字）：</w:t>
            </w:r>
          </w:p>
        </w:tc>
        <w:tc>
          <w:tcPr>
            <w:tcW w:w="2290" w:type="pct"/>
          </w:tcPr>
          <w:p w14:paraId="075BC3A3">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代表人（签字）：</w:t>
            </w:r>
          </w:p>
        </w:tc>
      </w:tr>
      <w:tr w14:paraId="65D9346E">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654" w:hRule="atLeast"/>
          <w:jc w:val="center"/>
        </w:trPr>
        <w:tc>
          <w:tcPr>
            <w:tcW w:w="2709" w:type="pct"/>
          </w:tcPr>
          <w:p w14:paraId="0EB3E928">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290" w:type="pct"/>
          </w:tcPr>
          <w:p w14:paraId="5FB9B2F8">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r>
      <w:tr w14:paraId="0FF6E47B">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654" w:hRule="atLeast"/>
          <w:jc w:val="center"/>
        </w:trPr>
        <w:tc>
          <w:tcPr>
            <w:tcW w:w="2709" w:type="pct"/>
          </w:tcPr>
          <w:p w14:paraId="35EA5D39">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开银行：</w:t>
            </w:r>
          </w:p>
        </w:tc>
        <w:tc>
          <w:tcPr>
            <w:tcW w:w="2290" w:type="pct"/>
          </w:tcPr>
          <w:p w14:paraId="69C6FAE5">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r>
      <w:tr w14:paraId="4A2701E0">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94" w:hRule="atLeast"/>
          <w:jc w:val="center"/>
        </w:trPr>
        <w:tc>
          <w:tcPr>
            <w:tcW w:w="2709" w:type="pct"/>
          </w:tcPr>
          <w:p w14:paraId="7F3F2E1A">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c>
          <w:tcPr>
            <w:tcW w:w="2290" w:type="pct"/>
          </w:tcPr>
          <w:p w14:paraId="379DEED2">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账号：</w:t>
            </w:r>
          </w:p>
        </w:tc>
      </w:tr>
      <w:tr w14:paraId="467883D2">
        <w:tblPrEx>
          <w:tblBorders>
            <w:top w:val="none" w:color="000000" w:sz="2" w:space="0"/>
            <w:left w:val="none" w:color="000000" w:sz="2" w:space="0"/>
            <w:bottom w:val="none" w:color="000000" w:sz="2" w:space="0"/>
            <w:right w:val="none" w:color="000000" w:sz="2" w:space="0"/>
            <w:insideH w:val="none" w:color="000000" w:sz="2" w:space="0"/>
            <w:insideV w:val="none" w:color="000000" w:sz="2" w:space="0"/>
          </w:tblBorders>
          <w:tblCellMar>
            <w:top w:w="0" w:type="dxa"/>
            <w:left w:w="0" w:type="dxa"/>
            <w:bottom w:w="0" w:type="dxa"/>
            <w:right w:w="0" w:type="dxa"/>
          </w:tblCellMar>
        </w:tblPrEx>
        <w:trPr>
          <w:trHeight w:val="494" w:hRule="atLeast"/>
          <w:jc w:val="center"/>
        </w:trPr>
        <w:tc>
          <w:tcPr>
            <w:tcW w:w="2709" w:type="pct"/>
          </w:tcPr>
          <w:p w14:paraId="613C141D">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   日</w:t>
            </w:r>
          </w:p>
          <w:p w14:paraId="0A2778C0">
            <w:pPr>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jc w:val="left"/>
              <w:textAlignment w:val="baseline"/>
              <w:rPr>
                <w:rFonts w:hint="eastAsia" w:ascii="仿宋" w:hAnsi="仿宋" w:eastAsia="仿宋" w:cs="仿宋"/>
                <w:color w:val="auto"/>
                <w:sz w:val="28"/>
                <w:szCs w:val="28"/>
                <w:highlight w:val="none"/>
              </w:rPr>
            </w:pPr>
          </w:p>
        </w:tc>
        <w:tc>
          <w:tcPr>
            <w:tcW w:w="2290" w:type="pct"/>
          </w:tcPr>
          <w:p w14:paraId="59B6D927">
            <w:pPr>
              <w:keepNext w:val="0"/>
              <w:keepLines w:val="0"/>
              <w:pageBreakBefore w:val="0"/>
              <w:widowControl/>
              <w:kinsoku w:val="0"/>
              <w:wordWrap/>
              <w:overflowPunct/>
              <w:topLinePunct w:val="0"/>
              <w:autoSpaceDE w:val="0"/>
              <w:autoSpaceDN w:val="0"/>
              <w:bidi w:val="0"/>
              <w:adjustRightInd w:val="0"/>
              <w:snapToGrid w:val="0"/>
              <w:spacing w:line="560" w:lineRule="exact"/>
              <w:jc w:val="left"/>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月   日</w:t>
            </w:r>
          </w:p>
          <w:p w14:paraId="10AA6509">
            <w:pPr>
              <w:keepNext w:val="0"/>
              <w:keepLines w:val="0"/>
              <w:pageBreakBefore w:val="0"/>
              <w:widowControl/>
              <w:kinsoku w:val="0"/>
              <w:wordWrap/>
              <w:overflowPunct/>
              <w:topLinePunct w:val="0"/>
              <w:autoSpaceDE w:val="0"/>
              <w:autoSpaceDN w:val="0"/>
              <w:bidi w:val="0"/>
              <w:adjustRightInd w:val="0"/>
              <w:snapToGrid w:val="0"/>
              <w:spacing w:line="560" w:lineRule="exact"/>
              <w:ind w:left="-49" w:leftChars="-18" w:hanging="1"/>
              <w:jc w:val="left"/>
              <w:textAlignment w:val="baseline"/>
              <w:rPr>
                <w:rFonts w:hint="eastAsia" w:ascii="仿宋" w:hAnsi="仿宋" w:eastAsia="仿宋" w:cs="仿宋"/>
                <w:color w:val="auto"/>
                <w:sz w:val="28"/>
                <w:szCs w:val="28"/>
                <w:highlight w:val="none"/>
              </w:rPr>
            </w:pPr>
          </w:p>
        </w:tc>
      </w:tr>
    </w:tbl>
    <w:p w14:paraId="33223B0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Cs/>
          <w:color w:val="auto"/>
          <w:sz w:val="28"/>
          <w:szCs w:val="28"/>
          <w:highlight w:val="none"/>
          <w:u w:val="none"/>
        </w:rPr>
      </w:pPr>
    </w:p>
    <w:p w14:paraId="712455E4">
      <w:pPr>
        <w:pStyle w:val="18"/>
        <w:rPr>
          <w:rFonts w:hint="eastAsia"/>
          <w:color w:val="auto"/>
          <w:sz w:val="20"/>
          <w:szCs w:val="20"/>
          <w:highlight w:val="none"/>
          <w:lang w:val="en-US" w:eastAsia="zh-Hans"/>
        </w:rPr>
      </w:pPr>
    </w:p>
    <w:p w14:paraId="03455C68">
      <w:pPr>
        <w:rPr>
          <w:rFonts w:hint="eastAsia"/>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EBB91"/>
    <w:multiLevelType w:val="singleLevel"/>
    <w:tmpl w:val="2DFEBB91"/>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93486A"/>
    <w:rsid w:val="06BC0E33"/>
    <w:rsid w:val="0C3538E2"/>
    <w:rsid w:val="0CD0389E"/>
    <w:rsid w:val="10B4371C"/>
    <w:rsid w:val="1F391F0F"/>
    <w:rsid w:val="24F60C4C"/>
    <w:rsid w:val="29791B0B"/>
    <w:rsid w:val="31A74A7A"/>
    <w:rsid w:val="40D32F99"/>
    <w:rsid w:val="426F60F8"/>
    <w:rsid w:val="4FCD17DD"/>
    <w:rsid w:val="6093304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3401</Words>
  <Characters>3448</Characters>
  <Lines>0</Lines>
  <Paragraphs>0</Paragraphs>
  <TotalTime>0</TotalTime>
  <ScaleCrop>false</ScaleCrop>
  <LinksUpToDate>false</LinksUpToDate>
  <CharactersWithSpaces>3538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李雨</cp:lastModifiedBy>
  <dcterms:modified xsi:type="dcterms:W3CDTF">2026-07-01T06:56:20Z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962D8A9D2D25421D9BAE80A2B796601B_12</vt:lpwstr>
  </property>
  <property fmtid="{D5CDD505-2E9C-101B-9397-08002B2CF9AE}" pid="4" name="KSOTemplateDocerSaveRecord">
    <vt:lpwstr>eyJoZGlkIjoiNDI0YzZjNGVmMzA5N2Y4ZmZlZDQxNGEyYzcyYzQ3YzUiLCJ1c2VySWQiOiIyNTg5NTgwNjkifQ==</vt:lpwstr>
  </property>
</Properties>
</file>