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版本号：YD-202603020260814001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陈家坝镇中心小学2026年学校内操场改造工程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YD-2026030</w:t>
      </w:r>
      <w:r>
        <w:br/>
      </w:r>
      <w:r>
        <w:br/>
      </w:r>
      <w:r>
        <w:br/>
      </w:r>
    </w:p>
    <w:p>
      <w:pPr>
        <w:pStyle w:val="null3"/>
        <w:jc w:val="center"/>
        <w:outlineLvl w:val="2"/>
      </w:pPr>
      <w:r>
        <w:rPr>
          <w:rFonts w:ascii="仿宋_GB2312" w:hAnsi="仿宋_GB2312" w:cs="仿宋_GB2312" w:eastAsia="仿宋_GB2312"/>
          <w:sz w:val="28"/>
          <w:b/>
        </w:rPr>
        <w:t>佛坪县陈家坝镇中心小学</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佛坪县陈家坝镇中心小学</w:t>
      </w:r>
      <w:r>
        <w:rPr>
          <w:rFonts w:ascii="仿宋_GB2312" w:hAnsi="仿宋_GB2312" w:cs="仿宋_GB2312" w:eastAsia="仿宋_GB2312"/>
        </w:rPr>
        <w:t>委托，拟对</w:t>
      </w:r>
      <w:r>
        <w:rPr>
          <w:rFonts w:ascii="仿宋_GB2312" w:hAnsi="仿宋_GB2312" w:cs="仿宋_GB2312" w:eastAsia="仿宋_GB2312"/>
        </w:rPr>
        <w:t>陈家坝镇中心小学2026年学校内操场改造工程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陈家坝镇中心小学2026年学校内操场改造工程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对陈家坝镇中⼼⼩学学校内操场进⾏改造，具体内容详⻅⼯程量清单。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采购包1（佛坪县陈家坝镇中心小学2026年学校内操场改造工程）：属于专门面向中小企业采购。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 3 年内经营活动无重大违法记录；供应商未被列入“信用中国”网站(https://www.creditchina.gov.cn)“失信被执行人”“重大税收违法案件当事人名单”中，也未列入“中国政府采购网”(https://www.ccgp.gov.cn)的“政府采购严重违法失信行为记录名单 ”；拟参与本项目的供应商应按照汉中市财政局《关于全面推行政府采购供应商基本资格条件承诺制的通知》 (汉财办采管(2024)20 号)文件要求，提供满足相应条件的资格承诺函；</w:t>
      </w:r>
    </w:p>
    <w:p>
      <w:pPr>
        <w:pStyle w:val="null3"/>
      </w:pPr>
      <w:r>
        <w:rPr>
          <w:rFonts w:ascii="仿宋_GB2312" w:hAnsi="仿宋_GB2312" w:cs="仿宋_GB2312" w:eastAsia="仿宋_GB2312"/>
        </w:rPr>
        <w:t>3、法定代表⼈⾝份证明或法定代表⼈授权委托书：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4、本采购包专⻔⾯向中⼩企业采购：本项目专门面向中小企业采购,供应商须提供《中小企业声明函》原件，供应商为监狱企业的，应提供监狱企业的证明文件；供应商为残疾人福利性单位的，应提供《残疾人福利性单位声明函》 (监狱企业或残疾人福利性单位视同小型、微型企业)；</w:t>
      </w:r>
    </w:p>
    <w:p>
      <w:pPr>
        <w:pStyle w:val="null3"/>
      </w:pPr>
      <w:r>
        <w:rPr>
          <w:rFonts w:ascii="仿宋_GB2312" w:hAnsi="仿宋_GB2312" w:cs="仿宋_GB2312" w:eastAsia="仿宋_GB2312"/>
        </w:rPr>
        <w:t>5、资质要求：供应商须具备建设行政主管部门核发的建筑工程施工总承包三级及以上资质或市政公用工程三级及以上资质，具有有效的安全生产许可证；拟派项目经理须具备建筑工程专业或市政公用工程专业二级及以上注册建造师执业资格和有效的安全考核合格B证，且无在建项目（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佛坪县陈家坝镇中心小学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佛坪县陈家坝镇孔家湾村一组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13474317980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采购包1：554,995.61元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佛坪县陈家坝镇中心小学</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佛坪县陈家坝镇中心小学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佛坪县陈家坝镇中心小学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554,995.61</w:t>
      </w:r>
    </w:p>
    <w:p>
      <w:pPr>
        <w:pStyle w:val="null3"/>
      </w:pPr>
      <w:r>
        <w:rPr>
          <w:rFonts w:ascii="仿宋_GB2312" w:hAnsi="仿宋_GB2312" w:cs="仿宋_GB2312" w:eastAsia="仿宋_GB2312"/>
        </w:rPr>
        <w:t>采购包最高限价（元）: 554,995.61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佛坪县陈家坝镇中心小学2026年学校内操场改造工程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554,995.61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标的名称：佛坪县陈家坝镇中心小学2026年学校内操场改造工程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18"/>
              </w:rPr>
              <w:t>一、工程概况</w:t>
            </w:r>
          </w:p>
          <w:p>
            <w:pPr>
              <w:pStyle w:val="null3"/>
              <w:ind w:firstLine="480"/>
              <w:jc w:val="both"/>
            </w:pPr>
            <w:r>
              <w:rPr>
                <w:rFonts w:ascii="仿宋_GB2312" w:hAnsi="仿宋_GB2312" w:cs="仿宋_GB2312" w:eastAsia="仿宋_GB2312"/>
                <w:sz w:val="18"/>
              </w:rPr>
              <w:t>陈家坝镇中心小学2026年学校内操场改造工程，工程位于佛坪县陈家坝镇中心小学内，本次建设内容:对陈家坝镇中心小学学校内操场进行改造，具体内容详见工程量清单。</w:t>
            </w:r>
          </w:p>
          <w:p>
            <w:pPr>
              <w:pStyle w:val="null3"/>
              <w:ind w:firstLine="480"/>
              <w:jc w:val="both"/>
            </w:pPr>
            <w:r>
              <w:rPr>
                <w:rFonts w:ascii="仿宋_GB2312" w:hAnsi="仿宋_GB2312" w:cs="仿宋_GB2312" w:eastAsia="仿宋_GB2312"/>
                <w:sz w:val="18"/>
              </w:rPr>
              <w:t>二、编制依据</w:t>
            </w:r>
          </w:p>
          <w:p>
            <w:pPr>
              <w:pStyle w:val="null3"/>
              <w:ind w:firstLine="480"/>
              <w:jc w:val="both"/>
            </w:pPr>
            <w:r>
              <w:rPr>
                <w:rFonts w:ascii="仿宋_GB2312" w:hAnsi="仿宋_GB2312" w:cs="仿宋_GB2312" w:eastAsia="仿宋_GB2312"/>
                <w:sz w:val="18"/>
              </w:rPr>
              <w:t>1、工程预算、施工图纸等。</w:t>
            </w:r>
          </w:p>
          <w:p>
            <w:pPr>
              <w:pStyle w:val="null3"/>
              <w:ind w:firstLine="480"/>
              <w:jc w:val="both"/>
            </w:pPr>
            <w:r>
              <w:rPr>
                <w:rFonts w:ascii="仿宋_GB2312" w:hAnsi="仿宋_GB2312" w:cs="仿宋_GB2312" w:eastAsia="仿宋_GB2312"/>
                <w:sz w:val="18"/>
              </w:rPr>
              <w:t>2、《陕西省住房和城乡建设厅关于印发 2025 陕西省建设工程费用规则等计价依据的通知》，陕建管发〔2025〕10号文件。</w:t>
            </w:r>
          </w:p>
          <w:p>
            <w:pPr>
              <w:pStyle w:val="null3"/>
              <w:ind w:firstLine="480"/>
              <w:jc w:val="both"/>
            </w:pPr>
            <w:r>
              <w:rPr>
                <w:rFonts w:ascii="仿宋_GB2312" w:hAnsi="仿宋_GB2312" w:cs="仿宋_GB2312" w:eastAsia="仿宋_GB2312"/>
                <w:sz w:val="18"/>
              </w:rPr>
              <w:t>3、《陕西省建设工程费用规则》（2025）、《建设工程工程量清单计价标准》（2025）、《房屋建筑与装修工程工程量计算标准》、《通用安装工程工程量计算标准》及其配套文件。</w:t>
            </w:r>
          </w:p>
          <w:p>
            <w:pPr>
              <w:pStyle w:val="null3"/>
              <w:ind w:firstLine="480"/>
              <w:jc w:val="both"/>
            </w:pPr>
            <w:r>
              <w:rPr>
                <w:rFonts w:ascii="仿宋_GB2312" w:hAnsi="仿宋_GB2312" w:cs="仿宋_GB2312" w:eastAsia="仿宋_GB2312"/>
                <w:sz w:val="18"/>
              </w:rPr>
              <w:t>4、《陕西省房屋建筑与装饰工程消耗量定额》（2025）、《陕西省通用安装工程消耗量定额》（2025）、《陕西省建设工程施工机械台班费用定额》（2025）。</w:t>
            </w:r>
          </w:p>
          <w:p>
            <w:pPr>
              <w:pStyle w:val="null3"/>
              <w:ind w:firstLine="480"/>
              <w:jc w:val="both"/>
            </w:pPr>
            <w:r>
              <w:rPr>
                <w:rFonts w:ascii="仿宋_GB2312" w:hAnsi="仿宋_GB2312" w:cs="仿宋_GB2312" w:eastAsia="仿宋_GB2312"/>
                <w:sz w:val="18"/>
              </w:rPr>
              <w:t>5、《陕西省房屋建筑与装饰工程基价表》（2025）、《陕西省通用安装工程基价表》（2025）。</w:t>
            </w:r>
          </w:p>
          <w:p>
            <w:pPr>
              <w:pStyle w:val="null3"/>
              <w:ind w:firstLine="480"/>
              <w:jc w:val="both"/>
            </w:pPr>
            <w:r>
              <w:rPr>
                <w:rFonts w:ascii="仿宋_GB2312" w:hAnsi="仿宋_GB2312" w:cs="仿宋_GB2312" w:eastAsia="仿宋_GB2312"/>
                <w:sz w:val="18"/>
              </w:rPr>
              <w:t>6、部分主材及工艺经与建设单位共同询价后，执行暂定价，结算阶段时据实结算。</w:t>
            </w:r>
          </w:p>
          <w:p>
            <w:pPr>
              <w:pStyle w:val="null3"/>
              <w:ind w:firstLine="480"/>
              <w:jc w:val="both"/>
            </w:pPr>
            <w:r>
              <w:rPr>
                <w:rFonts w:ascii="仿宋_GB2312" w:hAnsi="仿宋_GB2312" w:cs="仿宋_GB2312" w:eastAsia="仿宋_GB2312"/>
                <w:sz w:val="18"/>
              </w:rPr>
              <w:t>7、计价软件：广联达GCCP7.0清单计价软件</w:t>
            </w:r>
          </w:p>
          <w:p>
            <w:pPr>
              <w:pStyle w:val="null3"/>
              <w:ind w:firstLine="480"/>
              <w:jc w:val="both"/>
            </w:pPr>
            <w:r>
              <w:rPr>
                <w:rFonts w:ascii="仿宋_GB2312" w:hAnsi="仿宋_GB2312" w:cs="仿宋_GB2312" w:eastAsia="仿宋_GB2312"/>
                <w:sz w:val="18"/>
              </w:rPr>
              <w:t>三、草坪及跑道要求</w:t>
            </w:r>
          </w:p>
          <w:p>
            <w:pPr>
              <w:pStyle w:val="null3"/>
              <w:ind w:firstLine="480"/>
              <w:jc w:val="both"/>
            </w:pPr>
            <w:r>
              <w:rPr>
                <w:rFonts w:ascii="仿宋_GB2312" w:hAnsi="仿宋_GB2312" w:cs="仿宋_GB2312" w:eastAsia="仿宋_GB2312"/>
                <w:sz w:val="18"/>
              </w:rPr>
              <w:t>（一）人造运动场草坪</w:t>
            </w:r>
          </w:p>
          <w:p>
            <w:pPr>
              <w:pStyle w:val="null3"/>
              <w:ind w:firstLine="480"/>
              <w:jc w:val="both"/>
            </w:pPr>
            <w:r>
              <w:rPr>
                <w:rFonts w:ascii="仿宋_GB2312" w:hAnsi="仿宋_GB2312" w:cs="仿宋_GB2312" w:eastAsia="仿宋_GB2312"/>
                <w:sz w:val="18"/>
              </w:rPr>
              <w:t>1. 材质类型：运动场专用人造草坪，符合国家现行相关标准，所有材料环保无毒、无异味，满足场地环保使用要求；</w:t>
            </w:r>
          </w:p>
          <w:p>
            <w:pPr>
              <w:pStyle w:val="null3"/>
              <w:ind w:firstLine="480"/>
              <w:jc w:val="both"/>
            </w:pPr>
            <w:r>
              <w:rPr>
                <w:rFonts w:ascii="仿宋_GB2312" w:hAnsi="仿宋_GB2312" w:cs="仿宋_GB2312" w:eastAsia="仿宋_GB2312"/>
                <w:sz w:val="18"/>
              </w:rPr>
              <w:t>2. 草丝高度：5cm；</w:t>
            </w:r>
          </w:p>
          <w:p>
            <w:pPr>
              <w:pStyle w:val="null3"/>
              <w:ind w:firstLine="480"/>
              <w:jc w:val="both"/>
            </w:pPr>
            <w:r>
              <w:rPr>
                <w:rFonts w:ascii="仿宋_GB2312" w:hAnsi="仿宋_GB2312" w:cs="仿宋_GB2312" w:eastAsia="仿宋_GB2312"/>
                <w:sz w:val="18"/>
              </w:rPr>
              <w:t>3. 草丝磅重：≥10000磅；</w:t>
            </w:r>
          </w:p>
          <w:p>
            <w:pPr>
              <w:pStyle w:val="null3"/>
              <w:ind w:firstLine="480"/>
              <w:jc w:val="both"/>
            </w:pPr>
            <w:r>
              <w:rPr>
                <w:rFonts w:ascii="仿宋_GB2312" w:hAnsi="仿宋_GB2312" w:cs="仿宋_GB2312" w:eastAsia="仿宋_GB2312"/>
                <w:sz w:val="18"/>
              </w:rPr>
              <w:t>4. 垫层做法：铺设≥1cm厚专用缓冲垫；</w:t>
            </w:r>
          </w:p>
          <w:p>
            <w:pPr>
              <w:pStyle w:val="null3"/>
              <w:ind w:firstLine="480"/>
              <w:jc w:val="both"/>
            </w:pPr>
            <w:r>
              <w:rPr>
                <w:rFonts w:ascii="仿宋_GB2312" w:hAnsi="仿宋_GB2312" w:cs="仿宋_GB2312" w:eastAsia="仿宋_GB2312"/>
                <w:sz w:val="18"/>
              </w:rPr>
              <w:t>5. 填充辅料：石英砂（40～60目），填充量≥25kg/㎡；橡胶颗粒（含胶量≥10%），填充量≥5kg/㎡；</w:t>
            </w:r>
          </w:p>
          <w:p>
            <w:pPr>
              <w:pStyle w:val="null3"/>
              <w:ind w:firstLine="480"/>
              <w:jc w:val="both"/>
            </w:pPr>
            <w:r>
              <w:rPr>
                <w:rFonts w:ascii="仿宋_GB2312" w:hAnsi="仿宋_GB2312" w:cs="仿宋_GB2312" w:eastAsia="仿宋_GB2312"/>
                <w:sz w:val="18"/>
              </w:rPr>
              <w:t>6. 包含内容：草坪铺设、垫层铺设、辅料填充、接缝处理、场地清理、成品保护等全部工序。</w:t>
            </w:r>
          </w:p>
          <w:p>
            <w:pPr>
              <w:pStyle w:val="null3"/>
              <w:ind w:firstLine="480"/>
              <w:jc w:val="both"/>
            </w:pPr>
            <w:r>
              <w:rPr>
                <w:rFonts w:ascii="仿宋_GB2312" w:hAnsi="仿宋_GB2312" w:cs="仿宋_GB2312" w:eastAsia="仿宋_GB2312"/>
                <w:sz w:val="18"/>
              </w:rPr>
              <w:t>（二）透气型塑胶跑道</w:t>
            </w:r>
          </w:p>
          <w:p>
            <w:pPr>
              <w:pStyle w:val="null3"/>
              <w:ind w:firstLine="480"/>
              <w:jc w:val="both"/>
            </w:pPr>
            <w:r>
              <w:rPr>
                <w:rFonts w:ascii="仿宋_GB2312" w:hAnsi="仿宋_GB2312" w:cs="仿宋_GB2312" w:eastAsia="仿宋_GB2312"/>
                <w:sz w:val="18"/>
              </w:rPr>
              <w:t>1. 结构类型：透气型塑胶跑道；</w:t>
            </w:r>
          </w:p>
          <w:p>
            <w:pPr>
              <w:pStyle w:val="null3"/>
              <w:ind w:firstLine="480"/>
              <w:jc w:val="both"/>
            </w:pPr>
            <w:r>
              <w:rPr>
                <w:rFonts w:ascii="仿宋_GB2312" w:hAnsi="仿宋_GB2312" w:cs="仿宋_GB2312" w:eastAsia="仿宋_GB2312"/>
                <w:sz w:val="18"/>
              </w:rPr>
              <w:t>2. 铺设厚度：13mm；</w:t>
            </w:r>
          </w:p>
          <w:p>
            <w:pPr>
              <w:pStyle w:val="null3"/>
              <w:ind w:firstLine="480"/>
              <w:jc w:val="both"/>
            </w:pPr>
            <w:r>
              <w:rPr>
                <w:rFonts w:ascii="仿宋_GB2312" w:hAnsi="仿宋_GB2312" w:cs="仿宋_GB2312" w:eastAsia="仿宋_GB2312"/>
                <w:sz w:val="18"/>
              </w:rPr>
              <w:t>3. 质量环保标准：符合塑胶跑道新国标环保及质量相关要求，整体环保无毒、无刺激性异味，各项环保检测指标达标，适配运动场地使用环境；</w:t>
            </w:r>
          </w:p>
          <w:p>
            <w:pPr>
              <w:pStyle w:val="null3"/>
              <w:ind w:firstLine="480"/>
              <w:jc w:val="both"/>
            </w:pPr>
            <w:r>
              <w:rPr>
                <w:rFonts w:ascii="仿宋_GB2312" w:hAnsi="仿宋_GB2312" w:cs="仿宋_GB2312" w:eastAsia="仿宋_GB2312"/>
                <w:sz w:val="18"/>
              </w:rPr>
              <w:t>4. 包含内容：基层处理、跑道材料摊铺、面层施工、养护、场地清理、验收交付等全部施工工序。</w:t>
            </w:r>
          </w:p>
          <w:p>
            <w:pPr>
              <w:pStyle w:val="null3"/>
              <w:ind w:firstLine="480"/>
              <w:jc w:val="both"/>
            </w:pPr>
            <w:r>
              <w:rPr>
                <w:rFonts w:ascii="仿宋_GB2312" w:hAnsi="仿宋_GB2312" w:cs="仿宋_GB2312" w:eastAsia="仿宋_GB2312"/>
                <w:sz w:val="18"/>
              </w:rPr>
              <w:t>四、项目工期为:30天</w:t>
            </w:r>
          </w:p>
          <w:p>
            <w:pPr>
              <w:pStyle w:val="null3"/>
              <w:ind w:firstLine="480"/>
              <w:jc w:val="both"/>
            </w:pPr>
            <w:r>
              <w:rPr>
                <w:rFonts w:ascii="仿宋_GB2312" w:hAnsi="仿宋_GB2312" w:cs="仿宋_GB2312" w:eastAsia="仿宋_GB2312"/>
                <w:sz w:val="18"/>
              </w:rPr>
              <w:t xml:space="preserve">五、本项目缺陷责任期为:2年 </w:t>
            </w:r>
          </w:p>
          <w:p>
            <w:pPr>
              <w:pStyle w:val="null3"/>
              <w:ind w:firstLine="480"/>
              <w:jc w:val="left"/>
            </w:pPr>
            <w:r>
              <w:rPr>
                <w:rFonts w:ascii="仿宋_GB2312" w:hAnsi="仿宋_GB2312" w:cs="仿宋_GB2312" w:eastAsia="仿宋_GB2312"/>
                <w:sz w:val="18"/>
              </w:rPr>
              <w:t>六、工程质量:达到国家及行业标准。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中标结果公⽰后，中标⼈向代理机构提交纸质响应⽂件叁份、分别胶装，加盖骑缝章，电⼦版U盘贰份，内容和通过电⼦化交易平台实施的政府采购项⽬提交的投标⽂件⼀致。2、保证⾦若以⾦融机构、担保机构出具的保函形式则须在开标前⼀个⼯作⽇告知采购代理机构（联系⽅式：0916-2610065/邮箱：1042853189@qq.com）。3、供应商⾃⾏在系统规定处上传保证⾦凭证或保函，如未按系统要求上传，供应商⾃⾏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 3 年内经营活动无重大违法记录；供应商未被列入“信用中国”网站(https://www.creditchina.gov.cn)“失信被执行人”“重大税收违法案件当事人名单”中，也未列入“中国政府采购网”(https://www.ccgp.gov.cn)的“政府采购严重违法失信行为记录名单 ”；拟参与本项目的供应商应按照汉中市财政局《关于全面推行政府采购供应商基本资格条件承诺制的通知》 (汉财办采管(2024)20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本项目专门面向中小企业采购,供应商须提供《中小企业声明函》原件，供应商为监狱企业的，应提供监狱企业的证明文件；供应商为残疾人福利性单位的，应提供《残疾人福利性单位声明函》 (监狱企业或残疾人福利性单位视同小型、微型企业)；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市政公用工程三级及以上资质，具有有效的安全生产许可证；拟派项目经理须具备建筑工程专业或市政公用工程专业二级及以上注册建造师执业资格和有效的安全考核合格B证，且无在建项目（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实施⽅案，包括但不限于:①编制完善的施工组织设计；②本项目实施重难点分析；③劳动力保障⽅案；④机械设备清单及维护方案；⑤验收交付方案。以上各项内容全⾯明确、阐述条理清晰得15分，每缺⼀项扣3分 ，每项中的内容存在缺陷，扣1-2分，扣完为止。 备注：缺陷是指内容不合理、虽有内容但不完善、内容表述前后不⼀致、套用其他项目方案或与项目需求不匹配及其他不利于项目实施的等任意⼀种情形。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有具体的⼯期保证措施。包括但不限于：①具体可行的施⼯进度计划表（图）；②工期保证的具体措施。以上各项内容全⾯明确、阐述条理清晰得10分，每缺⼀项扣5分，每项中的内容存在缺陷，扣1-4分，扣完为⽌ 。 备注：缺陷是指内容不合理、虽有内容但不完善、内容表述前后不⼀致、套⽤其他项目方案或与项目需求不匹配及其他不利于项目实施的等任意⼀种情形。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供应商针对本项目有具体的质量保证措施。包括但不限于：①质量保证体系；②质量保证的具体措施。以上各项内容全面明确、阐述条理清晰得10分，每缺⼀项扣5分，每项中的内容存在缺陷，扣1-4分，扣完为止。 备注：缺陷是指内容不合理、虽有内容但不完善、内容表述前后不⼀致、套用其他项目方案或与项目需求不匹配及其他不利于项目实施的等任意⼀种情形。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确保安全生产组织措施</w:t>
            </w:r>
          </w:p>
        </w:tc>
        <w:tc>
          <w:tcPr>
            <w:tcW w:type="dxa" w:w="2492"/>
          </w:tcPr>
          <w:p>
            <w:pPr>
              <w:pStyle w:val="null3"/>
            </w:pPr>
            <w:r>
              <w:rPr>
                <w:rFonts w:ascii="仿宋_GB2312" w:hAnsi="仿宋_GB2312" w:cs="仿宋_GB2312" w:eastAsia="仿宋_GB2312"/>
              </w:rPr>
              <w:t>供应商针对本项目有具体的安全⽣产组织措施。包括但不限于：①安全保证体系；②安全保证的具体措施。以上各项内容全⾯明确、阐述条理清晰得10分，每缺⼀项扣5分，每项中的内容存在缺陷，扣1-4分，扣完为止。 备注：缺陷是指内容不合理、虽有内容但不完善、内容表述前后不⼀致、套⽤其他项目方案或与项目需求不匹配及其他不利于项目实施的等任意⼀种情形。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有具体的确保⽂明施工及环境保护措施。包括但不限于：①文明施工保障体系；②⽂明施工保障措施；③环境保护体系；④环境保护措施；⑤扬尘治理措施。以上各项内容全⾯明确、阐述条理清晰得10分，每缺⼀项扣2分，每项中的内容存在缺陷，扣0.5-1.5分，扣完为止。 备注：缺陷是指内容不合理、虽有内容但不完善、内容表述前后不⼀致、套用其他项目方案或与项目需求不匹配及其他不利于项目实施的等任意⼀种情形。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项⽬经理部组成⼈员</w:t>
            </w:r>
          </w:p>
        </w:tc>
        <w:tc>
          <w:tcPr>
            <w:tcW w:type="dxa" w:w="2492"/>
          </w:tcPr>
          <w:p>
            <w:pPr>
              <w:pStyle w:val="null3"/>
            </w:pPr>
            <w:r>
              <w:rPr>
                <w:rFonts w:ascii="仿宋_GB2312" w:hAnsi="仿宋_GB2312" w:cs="仿宋_GB2312" w:eastAsia="仿宋_GB2312"/>
              </w:rPr>
              <w:t>供应商针对本项目有具体的配置⼈员专业、数量、职称及相关经验，详细的实施⼈员安排，分⼯合理、责任明确。包括但不限于：①团队⼈员配置清单及岗位职责、且证书证件合格有效；②提供⼈员到场及不更换⼈员承诺。以上各项内容全⾯明确、阐述条理清晰得10分，每缺⼀项扣5分，每项中的内容存在缺陷，扣1-4分，扣完为⽌。 备注：缺陷是指内容不合理、虽有内容但不完善、内容表述前后不⼀致、套⽤其他项 ⽬⽅案或与项⽬需求不匹配及其他不利于项⽬实施的等任意⼀种情形。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供应商提供2023年1⽉1⽇⾄今完成的类似业绩证明，每提供⼀份计2.5分，最⾼计5.0分；（以合同签订时间为准） 注：业绩须是供应商完成的类似项⽬，以成交通知书或协议书（合同）为准。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限价，即报价⼤于上限价视为⽆效标；2、以满⾜本次磋商⽂件要求的最低报价为评审基准价，其价格为满分；3、投标供应商报价得分=（评审基准价/报价）×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