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版本号：ZHPM-ZC-2603620260710001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西安市全域村庄规划（已编）整合及“一张图”构建项目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ZHPM-ZC-26036</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西安市全域村庄规划（已编）整合及“一张图”构建项目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ZHPM-ZC-26036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西安市全域村庄规划（已编）整合及“一张图”构建项目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全域村庄规划（已编）整合及“一张图”构建项目，工作内容：1）依据有关法律法规、政策和技术标准，制定《西安市全域村庄规划（已编）整合及“一张图”构建实施细则》，细化数据库入库标准；2）对截至2023年底已编制完成的245个村庄规划开展规划成果数据审查；3）指导村庄规划编制单位按照《西安市全域村庄规划（已编）整合及“一张图”构建实施细则》要求进行整改，确保村庄规划成果的合法合规性；4）整合达标后的245个村庄全域规划数据，在审批完成后，推送至国土空间基础信息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投标的，需提供法定代表人身份证明（含法人身份证复印件），法定代表人委托代理人参加投标的，需提供法定代表人授权委托书（含法定代表人及代理人身份证复印件）；供应商需在项目电子化交易系统中按要求上传相应证明文件并进行电子签章。</w:t>
      </w:r>
    </w:p>
    <w:p>
      <w:pPr>
        <w:pStyle w:val="null3"/>
      </w:pPr>
      <w:r>
        <w:rPr>
          <w:rFonts w:ascii="仿宋_GB2312" w:hAnsi="仿宋_GB2312" w:cs="仿宋_GB2312" w:eastAsia="仿宋_GB2312"/>
        </w:rPr>
        <w:t>2、供应商资质：供应商须具备国家主管部门颁发的城乡规划（国土空间规划）编制乙级及以上（含乙级）资质。</w:t>
      </w:r>
    </w:p>
    <w:p>
      <w:pPr>
        <w:pStyle w:val="null3"/>
      </w:pPr>
      <w:r>
        <w:rPr>
          <w:rFonts w:ascii="仿宋_GB2312" w:hAnsi="仿宋_GB2312" w:cs="仿宋_GB2312" w:eastAsia="仿宋_GB2312"/>
        </w:rPr>
        <w:t>3、本项目不允许联合体投标：本项目不允许联合体投标。供应商需在项目电子化交易系统中按要求上传相应证明文件并进行电子签章。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029-87303582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代理服务费收费标准：1、代理服务费参考《国家计委关于印发&lt;招标代理服务收费管理暂行办法&gt;的通知》（计价格【2002】1980 号）及《国家发改委关于降低部分建设项目收费标准规范收费行为等有关问题的通知》（发改价格[2011]534 号）规定收取。 2、代理服务费由中标(成交)供应商支付，在《中标/成交通知书》发出前，由中标(成交)供应商一次性支付。 3、代理服务费银行及账号： 银行户名：中昊项目管理有限公司 开户银行：中国民生银行股份有限公司西安高新科技支行 账号：160927203 备注：供应商在汇款时须注明项目编号+项目简称+代理 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乙方应保证其提供的服务及服务成果的全部，均不存在侵犯第三方知识产权的情形，如果因此引发赔偿等法律责任，由乙方负责解决并承担一切赔偿等法律责任。 乙方提交甲方的全部服务成果的所有权及相关知识产权由甲方单独所有，乙方无权向任何第三方披露或提供，否则，乙方应按本合同总金额的30%向甲方支付违约金，并赔偿由此给甲方造成的名誉及经济损失。 软件及其技术文档等成果的所有权由双方享有；未经甲方许可，乙方不得提供给第三方，否则，乙方应按本合同总金额的30%向甲方支付违约金，并赔偿由此给甲方造成的名誉及经济损失。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成果质量合格，符合部省相关政策和技术指引要求，通过市级审查。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联系人：李馨</w:t>
      </w:r>
    </w:p>
    <w:p>
      <w:pPr>
        <w:pStyle w:val="null3"/>
      </w:pPr>
      <w:r>
        <w:rPr>
          <w:rFonts w:ascii="仿宋_GB2312" w:hAnsi="仿宋_GB2312" w:cs="仿宋_GB2312" w:eastAsia="仿宋_GB2312"/>
        </w:rPr>
        <w:t>联系电话：029-87303582</w:t>
      </w:r>
    </w:p>
    <w:p>
      <w:pPr>
        <w:pStyle w:val="null3"/>
      </w:pPr>
      <w:r>
        <w:rPr>
          <w:rFonts w:ascii="仿宋_GB2312" w:hAnsi="仿宋_GB2312" w:cs="仿宋_GB2312" w:eastAsia="仿宋_GB2312"/>
        </w:rPr>
        <w:t>地址：西安市高新区团结南路35号高新新天地2号楼2402室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全域村庄规划（已编）整合及“一张图”构建项目，工作内容：1）依据有关法律法规、政策和技术标准，制定《西安市全域村庄规划（已编）整合及“一张图”构建实施细则》，细化数据库入库标准；2）对截至2023年底已编制完成的245个村庄规划开展规划成果数据审查；3）指导村庄规划编制单位按照《西安市全域村庄规划（已编）整合及“一张图”构建实施细则》要求进行整改，确保村庄规划成果的合法合规性；4）整合达标后的245个村庄全域规划数据，在审批完成后，推送至国土空间基础信息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西安市全域村庄规划（已编）整合及一张图构建项目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标的名称：西安市全域村庄规划（已编）整合及一张图构建项目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0"/>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spacing w:after="15"/>
              <w:ind w:firstLine="480"/>
              <w:jc w:val="both"/>
            </w:pPr>
            <w:r>
              <w:rPr>
                <w:rFonts w:ascii="仿宋_GB2312" w:hAnsi="仿宋_GB2312" w:cs="仿宋_GB2312" w:eastAsia="仿宋_GB2312"/>
                <w:sz w:val="24"/>
                <w:color w:val="000000"/>
              </w:rPr>
              <w:t>按照自然资源部中央农村工作领导小组办公室印发《关于学习运用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千万工程</w:t>
            </w:r>
            <w:r>
              <w:rPr>
                <w:rFonts w:ascii="仿宋_GB2312" w:hAnsi="仿宋_GB2312" w:cs="仿宋_GB2312" w:eastAsia="仿宋_GB2312"/>
                <w:sz w:val="24"/>
                <w:color w:val="000000"/>
              </w:rPr>
              <w:t>”</w:t>
            </w:r>
            <w:r>
              <w:rPr>
                <w:rFonts w:ascii="仿宋_GB2312" w:hAnsi="仿宋_GB2312" w:cs="仿宋_GB2312" w:eastAsia="仿宋_GB2312"/>
                <w:sz w:val="24"/>
                <w:color w:val="000000"/>
              </w:rPr>
              <w:t>经验提高村庄规划编制质量和实效的通知》（自然资发〔</w:t>
            </w:r>
            <w:r>
              <w:rPr>
                <w:rFonts w:ascii="仿宋_GB2312" w:hAnsi="仿宋_GB2312" w:cs="仿宋_GB2312" w:eastAsia="仿宋_GB2312"/>
                <w:sz w:val="24"/>
                <w:color w:val="000000"/>
              </w:rPr>
              <w:t>2024</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号）、陕西省自然资源厅 中共陕西省委农村工作领导小组（省委实施乡村振兴战略领导小组）办公室《关于做好〈关于学习运用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千万工程</w:t>
            </w:r>
            <w:r>
              <w:rPr>
                <w:rFonts w:ascii="仿宋_GB2312" w:hAnsi="仿宋_GB2312" w:cs="仿宋_GB2312" w:eastAsia="仿宋_GB2312"/>
                <w:sz w:val="24"/>
                <w:color w:val="000000"/>
              </w:rPr>
              <w:t>”</w:t>
            </w:r>
            <w:r>
              <w:rPr>
                <w:rFonts w:ascii="仿宋_GB2312" w:hAnsi="仿宋_GB2312" w:cs="仿宋_GB2312" w:eastAsia="仿宋_GB2312"/>
                <w:sz w:val="24"/>
                <w:color w:val="000000"/>
              </w:rPr>
              <w:t>经验提高村庄规划编制质量和实效的通知〉贯彻落实工作的通知》（陕自然资规发〔</w:t>
            </w:r>
            <w:r>
              <w:rPr>
                <w:rFonts w:ascii="仿宋_GB2312" w:hAnsi="仿宋_GB2312" w:cs="仿宋_GB2312" w:eastAsia="仿宋_GB2312"/>
                <w:sz w:val="24"/>
                <w:color w:val="000000"/>
              </w:rPr>
              <w:t>2024</w:t>
            </w:r>
            <w:r>
              <w:rPr>
                <w:rFonts w:ascii="仿宋_GB2312" w:hAnsi="仿宋_GB2312" w:cs="仿宋_GB2312" w:eastAsia="仿宋_GB2312"/>
                <w:sz w:val="24"/>
                <w:color w:val="000000"/>
              </w:rPr>
              <w:t>〕</w:t>
            </w:r>
            <w:r>
              <w:rPr>
                <w:rFonts w:ascii="仿宋_GB2312" w:hAnsi="仿宋_GB2312" w:cs="仿宋_GB2312" w:eastAsia="仿宋_GB2312"/>
                <w:sz w:val="24"/>
                <w:color w:val="000000"/>
              </w:rPr>
              <w:t>90</w:t>
            </w:r>
            <w:r>
              <w:rPr>
                <w:rFonts w:ascii="仿宋_GB2312" w:hAnsi="仿宋_GB2312" w:cs="仿宋_GB2312" w:eastAsia="仿宋_GB2312"/>
                <w:sz w:val="24"/>
                <w:color w:val="000000"/>
              </w:rPr>
              <w:t>号）、市政府主要领导批示《关于学习运用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千万工程</w:t>
            </w:r>
            <w:r>
              <w:rPr>
                <w:rFonts w:ascii="仿宋_GB2312" w:hAnsi="仿宋_GB2312" w:cs="仿宋_GB2312" w:eastAsia="仿宋_GB2312"/>
                <w:sz w:val="24"/>
                <w:color w:val="000000"/>
              </w:rPr>
              <w:t>”</w:t>
            </w:r>
            <w:r>
              <w:rPr>
                <w:rFonts w:ascii="仿宋_GB2312" w:hAnsi="仿宋_GB2312" w:cs="仿宋_GB2312" w:eastAsia="仿宋_GB2312"/>
                <w:sz w:val="24"/>
                <w:color w:val="000000"/>
              </w:rPr>
              <w:t>经验提高规划编制质量和实效的通知》贯彻落实工作的安排（综八资规〔</w:t>
            </w:r>
            <w:r>
              <w:rPr>
                <w:rFonts w:ascii="仿宋_GB2312" w:hAnsi="仿宋_GB2312" w:cs="仿宋_GB2312" w:eastAsia="仿宋_GB2312"/>
                <w:sz w:val="24"/>
                <w:color w:val="000000"/>
              </w:rPr>
              <w:t>2024</w:t>
            </w:r>
            <w:r>
              <w:rPr>
                <w:rFonts w:ascii="仿宋_GB2312" w:hAnsi="仿宋_GB2312" w:cs="仿宋_GB2312" w:eastAsia="仿宋_GB2312"/>
                <w:sz w:val="24"/>
                <w:color w:val="000000"/>
              </w:rPr>
              <w:t>〕</w:t>
            </w:r>
            <w:r>
              <w:rPr>
                <w:rFonts w:ascii="仿宋_GB2312" w:hAnsi="仿宋_GB2312" w:cs="仿宋_GB2312" w:eastAsia="仿宋_GB2312"/>
                <w:sz w:val="24"/>
                <w:color w:val="000000"/>
              </w:rPr>
              <w:t>177</w:t>
            </w:r>
            <w:r>
              <w:rPr>
                <w:rFonts w:ascii="仿宋_GB2312" w:hAnsi="仿宋_GB2312" w:cs="仿宋_GB2312" w:eastAsia="仿宋_GB2312"/>
                <w:sz w:val="24"/>
                <w:color w:val="000000"/>
              </w:rPr>
              <w:t>号）文件要求，</w:t>
            </w:r>
            <w:r>
              <w:rPr>
                <w:rFonts w:ascii="仿宋_GB2312" w:hAnsi="仿宋_GB2312" w:cs="仿宋_GB2312" w:eastAsia="仿宋_GB2312"/>
                <w:sz w:val="24"/>
                <w:color w:val="000000"/>
              </w:rPr>
              <w:t>为</w:t>
            </w:r>
            <w:r>
              <w:rPr>
                <w:rFonts w:ascii="仿宋_GB2312" w:hAnsi="仿宋_GB2312" w:cs="仿宋_GB2312" w:eastAsia="仿宋_GB2312"/>
                <w:sz w:val="24"/>
                <w:color w:val="000000"/>
              </w:rPr>
              <w:t>切实</w:t>
            </w:r>
            <w:r>
              <w:rPr>
                <w:rFonts w:ascii="仿宋_GB2312" w:hAnsi="仿宋_GB2312" w:cs="仿宋_GB2312" w:eastAsia="仿宋_GB2312"/>
                <w:sz w:val="24"/>
                <w:color w:val="000000"/>
              </w:rPr>
              <w:t>加强村庄规划实施保障，</w:t>
            </w:r>
            <w:r>
              <w:rPr>
                <w:rFonts w:ascii="仿宋_GB2312" w:hAnsi="仿宋_GB2312" w:cs="仿宋_GB2312" w:eastAsia="仿宋_GB2312"/>
                <w:sz w:val="24"/>
                <w:color w:val="000000"/>
              </w:rPr>
              <w:t>确保村庄规划成果纳入</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一张图</w:t>
            </w:r>
            <w:r>
              <w:rPr>
                <w:rFonts w:ascii="仿宋_GB2312" w:hAnsi="仿宋_GB2312" w:cs="仿宋_GB2312" w:eastAsia="仿宋_GB2312"/>
                <w:sz w:val="24"/>
                <w:color w:val="000000"/>
              </w:rPr>
              <w:t>”</w:t>
            </w:r>
            <w:r>
              <w:rPr>
                <w:rFonts w:ascii="仿宋_GB2312" w:hAnsi="仿宋_GB2312" w:cs="仿宋_GB2312" w:eastAsia="仿宋_GB2312"/>
                <w:sz w:val="24"/>
                <w:color w:val="000000"/>
              </w:rPr>
              <w:t>管控，</w:t>
            </w:r>
            <w:r>
              <w:rPr>
                <w:rFonts w:ascii="仿宋_GB2312" w:hAnsi="仿宋_GB2312" w:cs="仿宋_GB2312" w:eastAsia="仿宋_GB2312"/>
                <w:sz w:val="24"/>
                <w:color w:val="000000"/>
              </w:rPr>
              <w:t>实现全生命周期管理和服务，</w:t>
            </w:r>
            <w:r>
              <w:rPr>
                <w:rFonts w:ascii="仿宋_GB2312" w:hAnsi="仿宋_GB2312" w:cs="仿宋_GB2312" w:eastAsia="仿宋_GB2312"/>
                <w:sz w:val="24"/>
                <w:color w:val="000000"/>
              </w:rPr>
              <w:t>拟实施《西安市全域村庄规划（已编）整合及</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构建》项目。</w:t>
            </w:r>
          </w:p>
          <w:p>
            <w:pPr>
              <w:pStyle w:val="null3"/>
              <w:ind w:firstLine="500"/>
            </w:pPr>
            <w:r>
              <w:rPr>
                <w:rFonts w:ascii="仿宋_GB2312" w:hAnsi="仿宋_GB2312" w:cs="仿宋_GB2312" w:eastAsia="仿宋_GB2312"/>
                <w:sz w:val="24"/>
                <w:b/>
              </w:rPr>
              <w:t>二、服务内容</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区域</w:t>
            </w:r>
            <w:r>
              <w:rPr>
                <w:rFonts w:ascii="仿宋_GB2312" w:hAnsi="仿宋_GB2312" w:cs="仿宋_GB2312" w:eastAsia="仿宋_GB2312"/>
                <w:sz w:val="24"/>
                <w:color w:val="000000"/>
              </w:rPr>
              <w:t>：</w:t>
            </w:r>
            <w:r>
              <w:rPr>
                <w:rFonts w:ascii="仿宋_GB2312" w:hAnsi="仿宋_GB2312" w:cs="仿宋_GB2312" w:eastAsia="仿宋_GB2312"/>
                <w:sz w:val="24"/>
                <w:color w:val="000000"/>
              </w:rPr>
              <w:t>西安市截至</w:t>
            </w:r>
            <w:r>
              <w:rPr>
                <w:rFonts w:ascii="仿宋_GB2312" w:hAnsi="仿宋_GB2312" w:cs="仿宋_GB2312" w:eastAsia="仿宋_GB2312"/>
                <w:sz w:val="24"/>
                <w:color w:val="000000"/>
              </w:rPr>
              <w:t>2023</w:t>
            </w:r>
            <w:r>
              <w:rPr>
                <w:rFonts w:ascii="仿宋_GB2312" w:hAnsi="仿宋_GB2312" w:cs="仿宋_GB2312" w:eastAsia="仿宋_GB2312"/>
                <w:sz w:val="24"/>
                <w:color w:val="000000"/>
              </w:rPr>
              <w:t>年底前已编制完成的</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个村庄村域范围</w:t>
            </w:r>
            <w:r>
              <w:rPr>
                <w:rFonts w:ascii="仿宋_GB2312" w:hAnsi="仿宋_GB2312" w:cs="仿宋_GB2312" w:eastAsia="仿宋_GB2312"/>
                <w:sz w:val="24"/>
                <w:color w:val="000000"/>
              </w:rPr>
              <w:t>。</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）工作内容：</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1</w:t>
            </w:r>
            <w:r>
              <w:rPr>
                <w:rFonts w:ascii="仿宋_GB2312" w:hAnsi="仿宋_GB2312" w:cs="仿宋_GB2312" w:eastAsia="仿宋_GB2312"/>
                <w:sz w:val="24"/>
                <w:color w:val="000000"/>
              </w:rPr>
              <w:t>）依据有关法律法规、政策和技术标准，制定《西安市全域村庄规划（已编）整合及</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构建实施细则》，细化数据库入库标准；</w:t>
            </w:r>
            <w:r>
              <w:rPr>
                <w:rFonts w:ascii="仿宋_GB2312" w:hAnsi="仿宋_GB2312" w:cs="仿宋_GB2312" w:eastAsia="仿宋_GB2312"/>
                <w:sz w:val="24"/>
                <w:color w:val="000000"/>
              </w:rPr>
              <w:t>2</w:t>
            </w:r>
            <w:r>
              <w:rPr>
                <w:rFonts w:ascii="仿宋_GB2312" w:hAnsi="仿宋_GB2312" w:cs="仿宋_GB2312" w:eastAsia="仿宋_GB2312"/>
                <w:sz w:val="24"/>
                <w:color w:val="000000"/>
              </w:rPr>
              <w:t>）对截至</w:t>
            </w:r>
            <w:r>
              <w:rPr>
                <w:rFonts w:ascii="仿宋_GB2312" w:hAnsi="仿宋_GB2312" w:cs="仿宋_GB2312" w:eastAsia="仿宋_GB2312"/>
                <w:sz w:val="24"/>
                <w:color w:val="000000"/>
              </w:rPr>
              <w:t>2023</w:t>
            </w:r>
            <w:r>
              <w:rPr>
                <w:rFonts w:ascii="仿宋_GB2312" w:hAnsi="仿宋_GB2312" w:cs="仿宋_GB2312" w:eastAsia="仿宋_GB2312"/>
                <w:sz w:val="24"/>
                <w:color w:val="000000"/>
              </w:rPr>
              <w:t>年底已编制完成的</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个村庄规划开展规划成果数据审查；</w:t>
            </w:r>
            <w:r>
              <w:rPr>
                <w:rFonts w:ascii="仿宋_GB2312" w:hAnsi="仿宋_GB2312" w:cs="仿宋_GB2312" w:eastAsia="仿宋_GB2312"/>
                <w:sz w:val="24"/>
                <w:color w:val="000000"/>
              </w:rPr>
              <w:t>3</w:t>
            </w:r>
            <w:r>
              <w:rPr>
                <w:rFonts w:ascii="仿宋_GB2312" w:hAnsi="仿宋_GB2312" w:cs="仿宋_GB2312" w:eastAsia="仿宋_GB2312"/>
                <w:sz w:val="24"/>
                <w:color w:val="000000"/>
              </w:rPr>
              <w:t>）指导村庄规划编制单位按照《西安市全域村庄规划（已编）整合及</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构建实施细则》要求进行整改，确保村庄规划成果的合法合规性；</w:t>
            </w:r>
            <w:r>
              <w:rPr>
                <w:rFonts w:ascii="仿宋_GB2312" w:hAnsi="仿宋_GB2312" w:cs="仿宋_GB2312" w:eastAsia="仿宋_GB2312"/>
                <w:sz w:val="24"/>
                <w:color w:val="000000"/>
              </w:rPr>
              <w:t>4</w:t>
            </w:r>
            <w:r>
              <w:rPr>
                <w:rFonts w:ascii="仿宋_GB2312" w:hAnsi="仿宋_GB2312" w:cs="仿宋_GB2312" w:eastAsia="仿宋_GB2312"/>
                <w:sz w:val="24"/>
                <w:color w:val="000000"/>
              </w:rPr>
              <w:t>）整合达标后的</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个村庄全域规划数据，在审批完成后，</w:t>
            </w:r>
            <w:r>
              <w:rPr>
                <w:rFonts w:ascii="仿宋_GB2312" w:hAnsi="仿宋_GB2312" w:cs="仿宋_GB2312" w:eastAsia="仿宋_GB2312"/>
                <w:sz w:val="24"/>
                <w:color w:val="000000"/>
              </w:rPr>
              <w:t>推送至国土空间基础信息平台</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spacing w:after="15"/>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熟悉部、省、市关于</w:t>
            </w:r>
            <w:r>
              <w:rPr>
                <w:rFonts w:ascii="仿宋_GB2312" w:hAnsi="仿宋_GB2312" w:cs="仿宋_GB2312" w:eastAsia="仿宋_GB2312"/>
                <w:sz w:val="24"/>
                <w:color w:val="000000"/>
              </w:rPr>
              <w:t>村庄规划</w:t>
            </w:r>
            <w:r>
              <w:rPr>
                <w:rFonts w:ascii="仿宋_GB2312" w:hAnsi="仿宋_GB2312" w:cs="仿宋_GB2312" w:eastAsia="仿宋_GB2312"/>
                <w:sz w:val="24"/>
                <w:color w:val="000000"/>
              </w:rPr>
              <w:t>相关的政策要求；</w:t>
            </w:r>
          </w:p>
          <w:p>
            <w:pPr>
              <w:pStyle w:val="null3"/>
              <w:spacing w:after="15"/>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熟悉</w:t>
            </w:r>
            <w:r>
              <w:rPr>
                <w:rFonts w:ascii="仿宋_GB2312" w:hAnsi="仿宋_GB2312" w:cs="仿宋_GB2312" w:eastAsia="仿宋_GB2312"/>
                <w:sz w:val="24"/>
                <w:color w:val="000000"/>
              </w:rPr>
              <w:t>陕西省及西安市村庄规划相关政策及编制技术要求，具有一定的村庄规划政策研究、规划编制、数据库建设</w:t>
            </w:r>
            <w:r>
              <w:rPr>
                <w:rFonts w:ascii="仿宋_GB2312" w:hAnsi="仿宋_GB2312" w:cs="仿宋_GB2312" w:eastAsia="仿宋_GB2312"/>
                <w:sz w:val="24"/>
                <w:color w:val="000000"/>
              </w:rPr>
              <w:t>等相关工作基础；</w:t>
            </w:r>
          </w:p>
          <w:p>
            <w:pPr>
              <w:pStyle w:val="null3"/>
              <w:spacing w:after="15"/>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熟练运用数据库建设、审核、质检等相关专业软件</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b/>
              </w:rPr>
              <w:t>四、</w:t>
            </w:r>
            <w:r>
              <w:rPr>
                <w:rFonts w:ascii="仿宋_GB2312" w:hAnsi="仿宋_GB2312" w:cs="仿宋_GB2312" w:eastAsia="仿宋_GB2312"/>
                <w:sz w:val="24"/>
                <w:b/>
              </w:rPr>
              <w:t>服务</w:t>
            </w:r>
            <w:r>
              <w:rPr>
                <w:rFonts w:ascii="仿宋_GB2312" w:hAnsi="仿宋_GB2312" w:cs="仿宋_GB2312" w:eastAsia="仿宋_GB2312"/>
                <w:sz w:val="24"/>
                <w:b/>
              </w:rPr>
              <w:t>要求</w:t>
            </w:r>
          </w:p>
          <w:p>
            <w:pPr>
              <w:pStyle w:val="null3"/>
              <w:spacing w:after="15"/>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人员配置：拟投入项目团队知识构架要全面，团队人员</w:t>
            </w:r>
            <w:r>
              <w:rPr>
                <w:rFonts w:ascii="仿宋_GB2312" w:hAnsi="仿宋_GB2312" w:cs="仿宋_GB2312" w:eastAsia="仿宋_GB2312"/>
                <w:sz w:val="24"/>
                <w:color w:val="000000"/>
              </w:rPr>
              <w:t>须</w:t>
            </w:r>
            <w:r>
              <w:rPr>
                <w:rFonts w:ascii="仿宋_GB2312" w:hAnsi="仿宋_GB2312" w:cs="仿宋_GB2312" w:eastAsia="仿宋_GB2312"/>
                <w:sz w:val="24"/>
                <w:color w:val="000000"/>
              </w:rPr>
              <w:t>具有规划、</w:t>
            </w:r>
            <w:r>
              <w:rPr>
                <w:rFonts w:ascii="仿宋_GB2312" w:hAnsi="仿宋_GB2312" w:cs="仿宋_GB2312" w:eastAsia="仿宋_GB2312"/>
                <w:sz w:val="24"/>
                <w:color w:val="000000"/>
              </w:rPr>
              <w:t>土地、</w:t>
            </w:r>
            <w:r>
              <w:rPr>
                <w:rFonts w:ascii="仿宋_GB2312" w:hAnsi="仿宋_GB2312" w:cs="仿宋_GB2312" w:eastAsia="仿宋_GB2312"/>
                <w:sz w:val="24"/>
                <w:color w:val="000000"/>
              </w:rPr>
              <w:t>地理信息等技术能力，同时需全面掌握</w:t>
            </w:r>
            <w:r>
              <w:rPr>
                <w:rFonts w:ascii="仿宋_GB2312" w:hAnsi="仿宋_GB2312" w:cs="仿宋_GB2312" w:eastAsia="仿宋_GB2312"/>
                <w:sz w:val="24"/>
                <w:color w:val="000000"/>
              </w:rPr>
              <w:t>村庄规划</w:t>
            </w:r>
            <w:r>
              <w:rPr>
                <w:rFonts w:ascii="仿宋_GB2312" w:hAnsi="仿宋_GB2312" w:cs="仿宋_GB2312" w:eastAsia="仿宋_GB2312"/>
                <w:sz w:val="24"/>
                <w:color w:val="000000"/>
              </w:rPr>
              <w:t>相关政策要求，熟练运用</w:t>
            </w:r>
            <w:r>
              <w:rPr>
                <w:rFonts w:ascii="仿宋_GB2312" w:hAnsi="仿宋_GB2312" w:cs="仿宋_GB2312" w:eastAsia="仿宋_GB2312"/>
                <w:sz w:val="24"/>
                <w:color w:val="000000"/>
              </w:rPr>
              <w:t>ArcGIS</w:t>
            </w:r>
            <w:r>
              <w:rPr>
                <w:rFonts w:ascii="仿宋_GB2312" w:hAnsi="仿宋_GB2312" w:cs="仿宋_GB2312" w:eastAsia="仿宋_GB2312"/>
                <w:sz w:val="24"/>
                <w:color w:val="000000"/>
              </w:rPr>
              <w:t>等相关专业软件，技术人员具备随时在线进行技术指导工作的能力。</w:t>
            </w:r>
          </w:p>
          <w:p>
            <w:pPr>
              <w:pStyle w:val="null3"/>
              <w:spacing w:after="15"/>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专业设备：具有履行本项目所必需的专业设备和技术能力。</w:t>
            </w:r>
          </w:p>
          <w:p>
            <w:pPr>
              <w:pStyle w:val="null3"/>
              <w:spacing w:after="15"/>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服务标准：提交成果符合</w:t>
            </w:r>
            <w:r>
              <w:rPr>
                <w:rFonts w:ascii="仿宋_GB2312" w:hAnsi="仿宋_GB2312" w:cs="仿宋_GB2312" w:eastAsia="仿宋_GB2312"/>
                <w:sz w:val="24"/>
                <w:color w:val="000000"/>
              </w:rPr>
              <w:t>国家、省、市</w:t>
            </w:r>
            <w:r>
              <w:rPr>
                <w:rFonts w:ascii="仿宋_GB2312" w:hAnsi="仿宋_GB2312" w:cs="仿宋_GB2312" w:eastAsia="仿宋_GB2312"/>
                <w:sz w:val="24"/>
                <w:color w:val="000000"/>
              </w:rPr>
              <w:t>对</w:t>
            </w:r>
            <w:r>
              <w:rPr>
                <w:rFonts w:ascii="仿宋_GB2312" w:hAnsi="仿宋_GB2312" w:cs="仿宋_GB2312" w:eastAsia="仿宋_GB2312"/>
                <w:sz w:val="24"/>
                <w:color w:val="000000"/>
              </w:rPr>
              <w:t>村庄规划数据库建设</w:t>
            </w:r>
            <w:r>
              <w:rPr>
                <w:rFonts w:ascii="仿宋_GB2312" w:hAnsi="仿宋_GB2312" w:cs="仿宋_GB2312" w:eastAsia="仿宋_GB2312"/>
                <w:sz w:val="24"/>
                <w:color w:val="000000"/>
              </w:rPr>
              <w:t>的</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技术</w:t>
            </w:r>
            <w:r>
              <w:rPr>
                <w:rFonts w:ascii="仿宋_GB2312" w:hAnsi="仿宋_GB2312" w:cs="仿宋_GB2312" w:eastAsia="仿宋_GB2312"/>
                <w:sz w:val="24"/>
                <w:color w:val="000000"/>
              </w:rPr>
              <w:t>标准，确保技术服务成果的科学性、合理性、准确性。</w:t>
            </w:r>
          </w:p>
          <w:p>
            <w:pPr>
              <w:pStyle w:val="null3"/>
              <w:ind w:firstLine="480"/>
              <w:jc w:val="left"/>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商务要求</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：自合同签订之日起至</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12</w:t>
            </w:r>
            <w:r>
              <w:rPr>
                <w:rFonts w:ascii="仿宋_GB2312" w:hAnsi="仿宋_GB2312" w:cs="仿宋_GB2312" w:eastAsia="仿宋_GB2312"/>
                <w:sz w:val="24"/>
                <w:color w:val="000000"/>
              </w:rPr>
              <w:t>月</w:t>
            </w:r>
            <w:r>
              <w:rPr>
                <w:rFonts w:ascii="仿宋_GB2312" w:hAnsi="仿宋_GB2312" w:cs="仿宋_GB2312" w:eastAsia="仿宋_GB2312"/>
                <w:sz w:val="24"/>
                <w:color w:val="000000"/>
              </w:rPr>
              <w:t>15</w:t>
            </w:r>
            <w:r>
              <w:rPr>
                <w:rFonts w:ascii="仿宋_GB2312" w:hAnsi="仿宋_GB2312" w:cs="仿宋_GB2312" w:eastAsia="仿宋_GB2312"/>
                <w:sz w:val="24"/>
                <w:color w:val="000000"/>
              </w:rPr>
              <w:t>日止。</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款项结算</w:t>
            </w:r>
          </w:p>
          <w:p>
            <w:pPr>
              <w:pStyle w:val="null3"/>
              <w:spacing w:after="15"/>
              <w:ind w:firstLine="480"/>
              <w:jc w:val="both"/>
            </w:pPr>
            <w:r>
              <w:rPr>
                <w:rFonts w:ascii="仿宋_GB2312" w:hAnsi="仿宋_GB2312" w:cs="仿宋_GB2312" w:eastAsia="仿宋_GB2312"/>
                <w:sz w:val="24"/>
                <w:color w:val="000000"/>
              </w:rPr>
              <w:t>分两次付款，合同签订后</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个工作日</w:t>
            </w:r>
            <w:r>
              <w:rPr>
                <w:rFonts w:ascii="仿宋_GB2312" w:hAnsi="仿宋_GB2312" w:cs="仿宋_GB2312" w:eastAsia="仿宋_GB2312"/>
                <w:sz w:val="24"/>
                <w:color w:val="000000"/>
              </w:rPr>
              <w:t>内支付合同总价款的</w:t>
            </w: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完成合同约定的所有服务内容，通过市级项目验收后，在</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个工作日内支付合同尾款，即合同总价款的</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p>
          <w:p>
            <w:pPr>
              <w:pStyle w:val="null3"/>
              <w:ind w:firstLine="500"/>
              <w:jc w:val="left"/>
            </w:pPr>
            <w:r>
              <w:rPr>
                <w:rFonts w:ascii="仿宋_GB2312" w:hAnsi="仿宋_GB2312" w:cs="仿宋_GB2312" w:eastAsia="仿宋_GB2312"/>
                <w:sz w:val="24"/>
                <w:b/>
              </w:rPr>
              <w:t>六</w:t>
            </w:r>
            <w:r>
              <w:rPr>
                <w:rFonts w:ascii="仿宋_GB2312" w:hAnsi="仿宋_GB2312" w:cs="仿宋_GB2312" w:eastAsia="仿宋_GB2312"/>
                <w:sz w:val="24"/>
                <w:b/>
              </w:rPr>
              <w:t>、其他</w:t>
            </w:r>
          </w:p>
          <w:p>
            <w:pPr>
              <w:pStyle w:val="null3"/>
              <w:spacing w:after="15"/>
              <w:ind w:firstLine="480"/>
              <w:jc w:val="both"/>
            </w:pPr>
            <w:r>
              <w:rPr>
                <w:rFonts w:ascii="仿宋_GB2312" w:hAnsi="仿宋_GB2312" w:cs="仿宋_GB2312" w:eastAsia="仿宋_GB2312"/>
                <w:sz w:val="24"/>
                <w:color w:val="000000"/>
              </w:rPr>
              <w:t>（一）业绩要求</w:t>
            </w:r>
          </w:p>
          <w:p>
            <w:pPr>
              <w:pStyle w:val="null3"/>
              <w:spacing w:after="15"/>
              <w:ind w:firstLine="480"/>
              <w:jc w:val="both"/>
            </w:pPr>
            <w:r>
              <w:rPr>
                <w:rFonts w:ascii="仿宋_GB2312" w:hAnsi="仿宋_GB2312" w:cs="仿宋_GB2312" w:eastAsia="仿宋_GB2312"/>
                <w:sz w:val="24"/>
                <w:color w:val="000000"/>
              </w:rPr>
              <w:t>须具备</w:t>
            </w:r>
            <w:r>
              <w:rPr>
                <w:rFonts w:ascii="仿宋_GB2312" w:hAnsi="仿宋_GB2312" w:cs="仿宋_GB2312" w:eastAsia="仿宋_GB2312"/>
                <w:sz w:val="24"/>
                <w:color w:val="000000"/>
              </w:rPr>
              <w:t>国土空间</w:t>
            </w:r>
            <w:r>
              <w:rPr>
                <w:rFonts w:ascii="仿宋_GB2312" w:hAnsi="仿宋_GB2312" w:cs="仿宋_GB2312" w:eastAsia="仿宋_GB2312"/>
                <w:sz w:val="24"/>
                <w:color w:val="000000"/>
              </w:rPr>
              <w:t>总体</w:t>
            </w:r>
            <w:r>
              <w:rPr>
                <w:rFonts w:ascii="仿宋_GB2312" w:hAnsi="仿宋_GB2312" w:cs="仿宋_GB2312" w:eastAsia="仿宋_GB2312"/>
                <w:sz w:val="24"/>
                <w:color w:val="000000"/>
              </w:rPr>
              <w:t>规划、</w:t>
            </w:r>
            <w:r>
              <w:rPr>
                <w:rFonts w:ascii="仿宋_GB2312" w:hAnsi="仿宋_GB2312" w:cs="仿宋_GB2312" w:eastAsia="仿宋_GB2312"/>
                <w:sz w:val="24"/>
                <w:color w:val="000000"/>
              </w:rPr>
              <w:t>国土空间详细规划、村庄规划</w:t>
            </w:r>
            <w:r>
              <w:rPr>
                <w:rFonts w:ascii="仿宋_GB2312" w:hAnsi="仿宋_GB2312" w:cs="仿宋_GB2312" w:eastAsia="仿宋_GB2312"/>
                <w:sz w:val="24"/>
                <w:color w:val="000000"/>
              </w:rPr>
              <w:t>等相关业绩。</w:t>
            </w:r>
          </w:p>
          <w:p>
            <w:pPr>
              <w:pStyle w:val="null3"/>
              <w:spacing w:after="15"/>
              <w:ind w:firstLine="480"/>
              <w:jc w:val="both"/>
            </w:pPr>
            <w:r>
              <w:rPr>
                <w:rFonts w:ascii="仿宋_GB2312" w:hAnsi="仿宋_GB2312" w:cs="仿宋_GB2312" w:eastAsia="仿宋_GB2312"/>
                <w:sz w:val="24"/>
                <w:color w:val="000000"/>
              </w:rPr>
              <w:t>（二）质量要求</w:t>
            </w:r>
          </w:p>
          <w:p>
            <w:pPr>
              <w:pStyle w:val="null3"/>
              <w:spacing w:after="15"/>
              <w:ind w:firstLine="480"/>
              <w:jc w:val="both"/>
            </w:pPr>
            <w:r>
              <w:rPr>
                <w:rFonts w:ascii="仿宋_GB2312" w:hAnsi="仿宋_GB2312" w:cs="仿宋_GB2312" w:eastAsia="仿宋_GB2312"/>
                <w:sz w:val="24"/>
                <w:color w:val="000000"/>
              </w:rPr>
              <w:t>成果质量合格，符合国家、省、市级要求</w:t>
            </w:r>
            <w:r>
              <w:rPr>
                <w:rFonts w:ascii="仿宋_GB2312" w:hAnsi="仿宋_GB2312" w:cs="仿宋_GB2312" w:eastAsia="仿宋_GB2312"/>
                <w:sz w:val="24"/>
                <w:color w:val="000000"/>
              </w:rPr>
              <w:t>。</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w:t>
            </w:r>
            <w:r>
              <w:rPr>
                <w:rFonts w:ascii="仿宋_GB2312" w:hAnsi="仿宋_GB2312" w:cs="仿宋_GB2312" w:eastAsia="仿宋_GB2312"/>
                <w:sz w:val="24"/>
                <w:color w:val="000000"/>
              </w:rPr>
              <w:t>交付成果</w:t>
            </w:r>
          </w:p>
          <w:p>
            <w:pPr>
              <w:pStyle w:val="null3"/>
              <w:spacing w:after="15"/>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《西安市全域村庄规划（已编）整合及</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构建实施细则》</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）文本成果：</w:t>
            </w:r>
            <w:r>
              <w:rPr>
                <w:rFonts w:ascii="仿宋_GB2312" w:hAnsi="仿宋_GB2312" w:cs="仿宋_GB2312" w:eastAsia="仿宋_GB2312"/>
                <w:sz w:val="24"/>
                <w:color w:val="000000"/>
              </w:rPr>
              <w:t>《西安市全域村庄规划（已编）整合及</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构建实施细则》</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）数据库成果：西安市</w:t>
            </w:r>
            <w:r>
              <w:rPr>
                <w:rFonts w:ascii="仿宋_GB2312" w:hAnsi="仿宋_GB2312" w:cs="仿宋_GB2312" w:eastAsia="仿宋_GB2312"/>
                <w:sz w:val="24"/>
                <w:color w:val="000000"/>
              </w:rPr>
              <w:t>村庄规划整合</w:t>
            </w:r>
            <w:r>
              <w:rPr>
                <w:rFonts w:ascii="仿宋_GB2312" w:hAnsi="仿宋_GB2312" w:cs="仿宋_GB2312" w:eastAsia="仿宋_GB2312"/>
                <w:sz w:val="24"/>
                <w:color w:val="000000"/>
              </w:rPr>
              <w:t>数据库</w:t>
            </w:r>
          </w:p>
          <w:p>
            <w:pPr>
              <w:pStyle w:val="null3"/>
              <w:spacing w:after="15"/>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西安市</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个村庄规划数据审查</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表格</w:t>
            </w:r>
            <w:r>
              <w:rPr>
                <w:rFonts w:ascii="仿宋_GB2312" w:hAnsi="仿宋_GB2312" w:cs="仿宋_GB2312" w:eastAsia="仿宋_GB2312"/>
                <w:sz w:val="24"/>
                <w:color w:val="000000"/>
              </w:rPr>
              <w:t>成果：</w:t>
            </w:r>
            <w:r>
              <w:rPr>
                <w:rFonts w:ascii="仿宋_GB2312" w:hAnsi="仿宋_GB2312" w:cs="仿宋_GB2312" w:eastAsia="仿宋_GB2312"/>
                <w:sz w:val="24"/>
                <w:color w:val="000000"/>
              </w:rPr>
              <w:t>一村一整改清单，全市共</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份</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）数据库成果：</w:t>
            </w:r>
            <w:r>
              <w:rPr>
                <w:rFonts w:ascii="仿宋_GB2312" w:hAnsi="仿宋_GB2312" w:cs="仿宋_GB2312" w:eastAsia="仿宋_GB2312"/>
                <w:sz w:val="24"/>
                <w:color w:val="000000"/>
              </w:rPr>
              <w:t>质检问题图斑</w:t>
            </w:r>
          </w:p>
          <w:p>
            <w:pPr>
              <w:pStyle w:val="null3"/>
              <w:spacing w:after="15"/>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西安</w:t>
            </w:r>
            <w:r>
              <w:rPr>
                <w:rFonts w:ascii="仿宋_GB2312" w:hAnsi="仿宋_GB2312" w:cs="仿宋_GB2312" w:eastAsia="仿宋_GB2312"/>
                <w:sz w:val="24"/>
                <w:color w:val="000000"/>
              </w:rPr>
              <w:t>市</w:t>
            </w:r>
            <w:r>
              <w:rPr>
                <w:rFonts w:ascii="仿宋_GB2312" w:hAnsi="仿宋_GB2312" w:cs="仿宋_GB2312" w:eastAsia="仿宋_GB2312"/>
                <w:sz w:val="24"/>
                <w:color w:val="000000"/>
              </w:rPr>
              <w:t>达标后</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个村庄规划</w:t>
            </w:r>
            <w:r>
              <w:rPr>
                <w:rFonts w:ascii="仿宋_GB2312" w:hAnsi="仿宋_GB2312" w:cs="仿宋_GB2312" w:eastAsia="仿宋_GB2312"/>
                <w:sz w:val="24"/>
                <w:color w:val="000000"/>
              </w:rPr>
              <w:t>整合</w:t>
            </w:r>
            <w:r>
              <w:rPr>
                <w:rFonts w:ascii="仿宋_GB2312" w:hAnsi="仿宋_GB2312" w:cs="仿宋_GB2312" w:eastAsia="仿宋_GB2312"/>
                <w:sz w:val="24"/>
                <w:color w:val="000000"/>
              </w:rPr>
              <w:t>数据</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文本</w:t>
            </w:r>
            <w:r>
              <w:rPr>
                <w:rFonts w:ascii="仿宋_GB2312" w:hAnsi="仿宋_GB2312" w:cs="仿宋_GB2312" w:eastAsia="仿宋_GB2312"/>
                <w:sz w:val="24"/>
                <w:color w:val="000000"/>
              </w:rPr>
              <w:t>成果：西安市</w:t>
            </w:r>
            <w:r>
              <w:rPr>
                <w:rFonts w:ascii="仿宋_GB2312" w:hAnsi="仿宋_GB2312" w:cs="仿宋_GB2312" w:eastAsia="仿宋_GB2312"/>
                <w:sz w:val="24"/>
                <w:color w:val="000000"/>
              </w:rPr>
              <w:t>达标后</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个村庄规划文本</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图纸</w:t>
            </w:r>
            <w:r>
              <w:rPr>
                <w:rFonts w:ascii="仿宋_GB2312" w:hAnsi="仿宋_GB2312" w:cs="仿宋_GB2312" w:eastAsia="仿宋_GB2312"/>
                <w:sz w:val="24"/>
                <w:color w:val="000000"/>
              </w:rPr>
              <w:t>成果：西安市</w:t>
            </w:r>
            <w:r>
              <w:rPr>
                <w:rFonts w:ascii="仿宋_GB2312" w:hAnsi="仿宋_GB2312" w:cs="仿宋_GB2312" w:eastAsia="仿宋_GB2312"/>
                <w:sz w:val="24"/>
                <w:color w:val="000000"/>
              </w:rPr>
              <w:t>达标后</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个村庄规划图纸</w:t>
            </w:r>
          </w:p>
          <w:p>
            <w:pPr>
              <w:pStyle w:val="null3"/>
              <w:spacing w:after="1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）数据库成果：西安市</w:t>
            </w:r>
            <w:r>
              <w:rPr>
                <w:rFonts w:ascii="仿宋_GB2312" w:hAnsi="仿宋_GB2312" w:cs="仿宋_GB2312" w:eastAsia="仿宋_GB2312"/>
                <w:sz w:val="24"/>
                <w:color w:val="000000"/>
              </w:rPr>
              <w:t>达标后</w:t>
            </w:r>
            <w:r>
              <w:rPr>
                <w:rFonts w:ascii="仿宋_GB2312" w:hAnsi="仿宋_GB2312" w:cs="仿宋_GB2312" w:eastAsia="仿宋_GB2312"/>
                <w:sz w:val="24"/>
                <w:color w:val="000000"/>
              </w:rPr>
              <w:t>245</w:t>
            </w:r>
            <w:r>
              <w:rPr>
                <w:rFonts w:ascii="仿宋_GB2312" w:hAnsi="仿宋_GB2312" w:cs="仿宋_GB2312" w:eastAsia="仿宋_GB2312"/>
                <w:sz w:val="24"/>
                <w:color w:val="000000"/>
              </w:rPr>
              <w:t>个村庄规划整合数据库</w:t>
            </w:r>
          </w:p>
          <w:p>
            <w:pPr>
              <w:pStyle w:val="null3"/>
              <w:spacing w:after="15"/>
              <w:ind w:firstLine="480"/>
              <w:jc w:val="both"/>
            </w:pPr>
            <w:r>
              <w:rPr>
                <w:rFonts w:ascii="仿宋_GB2312" w:hAnsi="仿宋_GB2312" w:cs="仿宋_GB2312" w:eastAsia="仿宋_GB2312"/>
                <w:sz w:val="24"/>
                <w:color w:val="000000"/>
              </w:rPr>
              <w:t>（四）质量验收标准或规范</w:t>
            </w:r>
          </w:p>
          <w:p>
            <w:pPr>
              <w:pStyle w:val="null3"/>
            </w:pPr>
            <w:r>
              <w:rPr>
                <w:rFonts w:ascii="仿宋_GB2312" w:hAnsi="仿宋_GB2312" w:cs="仿宋_GB2312" w:eastAsia="仿宋_GB2312"/>
                <w:sz w:val="24"/>
                <w:color w:val="000000"/>
              </w:rPr>
              <w:t>成果质量合格，符合部省相关政策文件和技术指导要求，通过市级审查。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拟投入项目团队知识构架要全面，团队人员须具有规划、土地、地理信息等技术能力，同时需全面掌握村庄规划相关政策要求，熟练运用ArcGIS等相关专业软件，技术人员具备随时在线进行技术指导工作的能力。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具有履行本项目所必需的专业设备和技术能力。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提交成果符合国家、省、市对村庄规划数据库建设的相关技术标准，确保技术服务成果的科学性、合理性、准确性。</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成果质量合格，符合部省相关政策和技术指引要求，通过市级审查。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进度款，完成合同约定的所有服务内容，通过市级项目验收后，达到付款条件起10个工作日内，支付合同总金额的50.0%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双方发生合同争议时，应友好协商解决，不能达成协议时，及时向有关部门要求调解、仲裁或诉讼，发生索赔按现行法律、法规和合同执行。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（一）业绩要求 须具备国土空间总体规划、国土空间详细规划、村庄规划等相关业绩。 （二）质量要求 成果质量合格，符合国家、省、市级要求。 （三）交付成果 1.《西安市全域村庄规划（已编）整合及“一张图”构建实施细则》 （1）文本成果：《西安市全域村庄规划（已编）整合及“一张图”构建实施细则》 （2）数据库成果：西安市村庄规划整合数据库 2.西安市245个村庄规划数据审查 （1）表格成果：一村一整改清单，全市共245份 （2）数据库成果：质检问题图斑 3.西安市达标后245个村庄规划整合数据 （1）文本成果：西安市达标后245个村庄规划文本 （2）图纸成果：西安市达标后245个村庄规划图纸 （3）数据库成果：西安市达标后245个村庄规划整合数据库 （四）质量验收标准或规范 成果质量合格，符合部省相关政策文件和技术指导要求，通过市级审查。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2025年度财务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需提供法定代表人身份证明（含法人身份证复印件），法定代表人委托代理人参加投标的，需提供法定代表人授权委托书（含法定代表人及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供应商须具备国家主管部门颁发的城乡规划（国土空间规划）编制乙级及以上（含乙级）资质。</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投标文件上法定代表人或被授权人的签字、盖章齐全</w:t>
            </w:r>
          </w:p>
        </w:tc>
        <w:tc>
          <w:tcPr>
            <w:tcW w:type="dxa" w:w="1661"/>
          </w:tcPr>
          <w:p>
            <w:pPr>
              <w:pStyle w:val="null3"/>
            </w:pPr>
            <w:r>
              <w:rPr>
                <w:rFonts w:ascii="仿宋_GB2312" w:hAnsi="仿宋_GB2312" w:cs="仿宋_GB2312" w:eastAsia="仿宋_GB2312"/>
              </w:rPr>
              <w:t>投标函 中小企业声明函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投标文件格式、语言、计量单位、报价货币</w:t>
            </w:r>
          </w:p>
        </w:tc>
        <w:tc>
          <w:tcPr>
            <w:tcW w:type="dxa" w:w="3322"/>
          </w:tcPr>
          <w:p>
            <w:pPr>
              <w:pStyle w:val="null3"/>
            </w:pPr>
            <w:r>
              <w:rPr>
                <w:rFonts w:ascii="仿宋_GB2312" w:hAnsi="仿宋_GB2312" w:cs="仿宋_GB2312" w:eastAsia="仿宋_GB2312"/>
              </w:rPr>
              <w:t>符合“投标文件格式”和招标文件要求</w:t>
            </w:r>
          </w:p>
        </w:tc>
        <w:tc>
          <w:tcPr>
            <w:tcW w:type="dxa" w:w="1661"/>
          </w:tcPr>
          <w:p>
            <w:pPr>
              <w:pStyle w:val="null3"/>
            </w:pPr>
            <w:r>
              <w:rPr>
                <w:rFonts w:ascii="仿宋_GB2312" w:hAnsi="仿宋_GB2312" w:cs="仿宋_GB2312" w:eastAsia="仿宋_GB2312"/>
              </w:rPr>
              <w:t>开标一览表 投标函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只能有一个有效报价，不得提交选择性报价，且报价不超过采购预算（最高限价）金额</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商务应答表 服务方案 服务内容及服务要求应答表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对项目认知和实施目的理解</w:t>
            </w:r>
          </w:p>
        </w:tc>
        <w:tc>
          <w:tcPr>
            <w:tcW w:type="dxa" w:w="2492"/>
          </w:tcPr>
          <w:p>
            <w:pPr>
              <w:pStyle w:val="null3"/>
            </w:pPr>
            <w:r>
              <w:rPr>
                <w:rFonts w:ascii="仿宋_GB2312" w:hAnsi="仿宋_GB2312" w:cs="仿宋_GB2312" w:eastAsia="仿宋_GB2312"/>
              </w:rPr>
              <w:t>一、评审内容：供应商能充分了解本项目需求和实施特点，理解本项目的采购背景和需求，结合项目所在区域政策，提供针对本项目规划的整体思路。 二、评审标准： 以上内容专门针对本项目且符合本项目实际需求的得4分，缺项扣4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项目实施细则编制思路及要点</w:t>
            </w:r>
          </w:p>
        </w:tc>
        <w:tc>
          <w:tcPr>
            <w:tcW w:type="dxa" w:w="2492"/>
          </w:tcPr>
          <w:p>
            <w:pPr>
              <w:pStyle w:val="null3"/>
            </w:pPr>
            <w:r>
              <w:rPr>
                <w:rFonts w:ascii="仿宋_GB2312" w:hAnsi="仿宋_GB2312" w:cs="仿宋_GB2312" w:eastAsia="仿宋_GB2312"/>
              </w:rPr>
              <w:t>一、评审内容：根据采购需求提供《西安市全域村庄规划（已编）整合及“一张图”构建实施细则》编制思路及要点。 二、评审标准： 以上内容专门针对本项目且符合本项目实际需求的得6分，缺项扣6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工作流程与项目重点、难点分析</w:t>
            </w:r>
          </w:p>
        </w:tc>
        <w:tc>
          <w:tcPr>
            <w:tcW w:type="dxa" w:w="2492"/>
          </w:tcPr>
          <w:p>
            <w:pPr>
              <w:pStyle w:val="null3"/>
            </w:pPr>
            <w:r>
              <w:rPr>
                <w:rFonts w:ascii="仿宋_GB2312" w:hAnsi="仿宋_GB2312" w:cs="仿宋_GB2312" w:eastAsia="仿宋_GB2312"/>
              </w:rPr>
              <w:t>一、评审内容：根据采购需求编制本项目整体实施方案，具体包括：①工作技术流程（6分）；②项目重点、难点分析及应对策略（6分）。二、评审标准：以上内容每一项专门针对本项目且符合本项目实际需求的得6分，缺项扣6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技术路径与实施计划</w:t>
            </w:r>
          </w:p>
        </w:tc>
        <w:tc>
          <w:tcPr>
            <w:tcW w:type="dxa" w:w="2492"/>
          </w:tcPr>
          <w:p>
            <w:pPr>
              <w:pStyle w:val="null3"/>
            </w:pPr>
            <w:r>
              <w:rPr>
                <w:rFonts w:ascii="仿宋_GB2312" w:hAnsi="仿宋_GB2312" w:cs="仿宋_GB2312" w:eastAsia="仿宋_GB2312"/>
              </w:rPr>
              <w:t>一、评审内容：根据采购需求编制本项目整体实施方案，具体包括：①成果整合技术路径（5分）；②项目实施进度安排（5分）。二、评审标准：以上内容每一项专门针对本项目且符合本项目实际需求的得5分，缺项扣5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保障措施与售后服务方案</w:t>
            </w:r>
          </w:p>
        </w:tc>
        <w:tc>
          <w:tcPr>
            <w:tcW w:type="dxa" w:w="2492"/>
          </w:tcPr>
          <w:p>
            <w:pPr>
              <w:pStyle w:val="null3"/>
            </w:pPr>
            <w:r>
              <w:rPr>
                <w:rFonts w:ascii="仿宋_GB2312" w:hAnsi="仿宋_GB2312" w:cs="仿宋_GB2312" w:eastAsia="仿宋_GB2312"/>
              </w:rPr>
              <w:t>一、评审内容：针对采购内容提出适用于本项目的保障措施与售后服务方案，包括：①项目成果管理措施（2分）；②工作质量保证措施（2分）；③保密措施（2分）；④后续技术服务方案及措施（2分）。二、评审标准：以上内容每一项专门针对本项目且符合本项目实际需求的得2分，缺项扣2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一、评审内容：针对采购内容提出适用于本项目的服务承诺，①服务期内，按要求完成各项相关服务及对服务团队的稳定性的承诺（2分）； ②对服务期内，各项应急情况保障措施的承诺（2分）； ③对项目后期，提供配合采购人相关工作等内容的承诺（2分）；④针对本项目具体情况提出的真实有效合理化建议（2分）；⑤ 提供本项目有关的其他具体增值服务（2分）。 二、评审标准：以上内容每一项专门针对本项目且符合本项目实际需求的得2分，共计10分，不提供不得分。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（1）拟派项目负责人具有城乡规划类专业正高级职称的，得3分；具有城乡规划类专业高级职称的，得1分。 （2）拟派项目负责人具有注册城乡规划师执业资格证书的，得2分。 注：提供项目负责人证书复印件加盖公章，未提供不得分。）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拟派项目负责人2023年6月至今承担过的类似项目业绩（以合同签订时间为准），每提供1项得3分，最高得分不超过6分。 注：提供合同协议书或验收资料等可证明其担任项目负责人的证明材料扫描件加盖单位公章，未提供不得分。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1.项目团队建设①组织结构健全，有完善的岗位制度和岗位职责；②人员安排合理、分工明确，可操作性强。 注：以上内容每提供一项得2分，共计4分，未提供不得分。 2.拟投入本项目的团队人员（除项目负责人以外），具备相关专业高级及以上职称，每提供1人得1分，最高得分不超过5分；具备注册城乡规划师证书，每提供1人得1分，最高得分不超过5分。 注：①项目团队人员可重复计分。 ②提供项目团队人员职称证、资格证等相关证书复印件加盖公章，未提供不得分。）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供应商提供2023年6月至今承担过的类似项目业绩（以合同签订时间为准），每提供1项得3分，最高得分不超过15分。 注：提供合同复印件加盖单位公章，未提供不得分。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依据财库[2007]2号文，价格分统一采用低价优先法计算，即满足招标文件要求且投标价格最低的投标报价为评标基准价，其价格分为满分。其他投标人的价格分统一按照下列公式计算：投标报价得分=(评标基准价／投标报价)×10。计算分数时四舍五入取小数点后两位。 备注：按中华人民共和国财政部令第87号《政府采购货物和服务招标投标管理办法》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