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版本号：0617-2622HZ1687.1B120260706001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2026义务教育薄弱环节改善与能力提升补助资金项目（2026年设施设备采购）(二次)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0617-2622HZ1687.1B1</w:t>
      </w:r>
      <w:r>
        <w:br/>
      </w:r>
      <w:r>
        <w:br/>
      </w:r>
      <w:r>
        <w:br/>
      </w:r>
    </w:p>
    <w:p>
      <w:pPr>
        <w:pStyle w:val="null3"/>
        <w:jc w:val="center"/>
        <w:outlineLvl w:val="2"/>
      </w:pPr>
      <w:r>
        <w:rPr>
          <w:rFonts w:ascii="仿宋_GB2312" w:hAnsi="仿宋_GB2312" w:cs="仿宋_GB2312" w:eastAsia="仿宋_GB2312"/>
          <w:sz w:val="28"/>
          <w:b/>
        </w:rPr>
        <w:t>西安市雁塔区第四中学</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西安市雁塔区第四中学</w:t>
      </w:r>
      <w:r>
        <w:rPr>
          <w:rFonts w:ascii="仿宋_GB2312" w:hAnsi="仿宋_GB2312" w:cs="仿宋_GB2312" w:eastAsia="仿宋_GB2312"/>
        </w:rPr>
        <w:t>委托，拟对</w:t>
      </w:r>
      <w:r>
        <w:rPr>
          <w:rFonts w:ascii="仿宋_GB2312" w:hAnsi="仿宋_GB2312" w:cs="仿宋_GB2312" w:eastAsia="仿宋_GB2312"/>
        </w:rPr>
        <w:t>2026义务教育薄弱环节改善与能力提升补助资金项目（2026年设施设备采购）(二次)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0617-2622HZ1687.1B1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2026义务教育薄弱环节改善与能力提升补助资金项目（2026年设施设备采购）(二次)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采购包1：教室课桌椅；具体详见采购文件。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不得为“信用中国”网站（www.creditchina.gov.cn）列入失信被执行人、严重失信主体名单、重大税收违法失信主体供应商，不得为“中国政府采购网”（www.ccgp.gov.cn）政府采购严重违法失信行为记录中的供应商。</w:t>
      </w:r>
    </w:p>
    <w:p>
      <w:pPr>
        <w:pStyle w:val="null3"/>
      </w:pPr>
      <w:r>
        <w:rPr>
          <w:rFonts w:ascii="仿宋_GB2312" w:hAnsi="仿宋_GB2312" w:cs="仿宋_GB2312" w:eastAsia="仿宋_GB2312"/>
        </w:rPr>
        <w:t>2、法定代表人授权书及本单位证明：法定代表人参加谈判的，须出示身份证；法定代表人授权他人参加谈判的，须提供法定代表人授权委托书、被授权人身份证及被授权人本单位证明 (近6个月内任意1个月社保缴纳证明)。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西安市雁塔区第四中学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西安市雁塔区樱花二路与沣经三路东北角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029-89058442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杨凡、程佳、王炳淇、张勃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029-85592868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课椅</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的标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西安市雁塔区第四中学</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西安市雁塔区第四中学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西安市雁塔区第四中学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西北(陕西)国际招标有限公司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详见合同要求。</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供应商提供设备的各项技术性能指标必须达到合同和技术文件规定的要求。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采购包1：教室课桌椅；具体详见采购文件。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教室课桌椅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标的名称：教室课桌椅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一、技术参数</w:t>
            </w:r>
          </w:p>
          <w:tbl>
            <w:tblPr>
              <w:tblInd w:type="dxa" w:w="240"/>
              <w:tblBorders>
                <w:top w:val="none" w:color="000000" w:sz="4"/>
                <w:left w:val="none" w:color="000000" w:sz="4"/>
                <w:bottom w:val="none" w:color="000000" w:sz="4"/>
                <w:right w:val="none" w:color="000000" w:sz="4"/>
                <w:insideH w:val="none"/>
                <w:insideV w:val="none"/>
              </w:tblBorders>
            </w:tblPr>
            <w:tblGrid>
              <w:gridCol w:w="214"/>
              <w:gridCol w:w="352"/>
              <w:gridCol w:w="1162"/>
              <w:gridCol w:w="336"/>
              <w:gridCol w:w="214"/>
              <w:gridCol w:w="275"/>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1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w:t>
                  </w:r>
                </w:p>
              </w:tc>
              <w:tc>
                <w:tcPr>
                  <w:tcW w:type="dxa" w:w="3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参考图</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课桌（核心设备）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w:t>
                  </w:r>
                  <w:r>
                    <w:rPr>
                      <w:rFonts w:ascii="仿宋_GB2312" w:hAnsi="仿宋_GB2312" w:cs="仿宋_GB2312" w:eastAsia="仿宋_GB2312"/>
                      <w:sz w:val="19"/>
                    </w:rPr>
                    <w:t>650*450*760mm</w:t>
                  </w:r>
                </w:p>
                <w:p>
                  <w:pPr>
                    <w:pStyle w:val="null3"/>
                    <w:jc w:val="left"/>
                  </w:pPr>
                  <w:r>
                    <w:rPr>
                      <w:rFonts w:ascii="仿宋_GB2312" w:hAnsi="仿宋_GB2312" w:cs="仿宋_GB2312" w:eastAsia="仿宋_GB2312"/>
                      <w:sz w:val="19"/>
                    </w:rPr>
                    <w:t>1、桌面：尺寸650*450mm；厚度≧18mm（因教室需要尺寸不得超过±2mm误差）桌面采用中密度纤维板，三聚氰胺双饰面。★提供带有CMA标识省级及以上检测机构出具的中密度纤维板检测报告:符合GB18580-2025《室内装饰装修材料人造板及其制品中甲醛释放限量》、GB/T39600-2021《人造板及其制品甲醛释放量分级》甲醛释放量达到ENF级，符合GB/T35601-2024《绿色产品评价人造板和木质地板》：苯、甲苯、二甲苯、总挥发性有机化合物（TVOC）的要求，符合JC/T2039-2010-抗菌防霉性能：金黄色葡萄球菌、大肠埃希氏菌的抗细菌率，黑曲霉、土曲霉、宛氏拟青霉、绳状青霉、出芽短梗霉、球毛壳的防霉菌等级的要求；符合GB/T 11718-2021静曲强度≥24.0 MPa；弹性模量≥2600 MPa；内结合强度≥0.60 MPa；表面结合强度≥1.0 MPa；吸水厚度膨胀率（24h）≤8.0%。符合GB 8624-2012 燃烧性能等级达到B1级（难燃级）；氧指数≥26%（B1级）；</w:t>
                  </w:r>
                </w:p>
                <w:p>
                  <w:pPr>
                    <w:pStyle w:val="null3"/>
                    <w:jc w:val="left"/>
                  </w:pPr>
                  <w:r>
                    <w:rPr>
                      <w:rFonts w:ascii="仿宋_GB2312" w:hAnsi="仿宋_GB2312" w:cs="仿宋_GB2312" w:eastAsia="仿宋_GB2312"/>
                      <w:sz w:val="19"/>
                    </w:rPr>
                    <w:t>2、桌子用管：桌子下插管采用25mm*50mm优质椭圆管折弯成型，厚度为1.2mm；桌子上插管采用20mm*40mm优质椭圆管折弯成型，厚度为1.2mm；桌子连接管均采用20mm*40mm*1.2mm厚的优质椭圆管。</w:t>
                  </w:r>
                </w:p>
                <w:p>
                  <w:pPr>
                    <w:pStyle w:val="null3"/>
                    <w:jc w:val="left"/>
                  </w:pPr>
                  <w:r>
                    <w:rPr>
                      <w:rFonts w:ascii="仿宋_GB2312" w:hAnsi="仿宋_GB2312" w:cs="仿宋_GB2312" w:eastAsia="仿宋_GB2312"/>
                      <w:sz w:val="19"/>
                    </w:rPr>
                    <w:t>3、桌斗：桌斗采用冷轧钢板冲压一次成型，桌斗前沿配有一根扁方管。规格：500mm*350mm*150mm，厚度为0.6mm。</w:t>
                  </w:r>
                </w:p>
                <w:p>
                  <w:pPr>
                    <w:pStyle w:val="null3"/>
                    <w:jc w:val="left"/>
                  </w:pPr>
                  <w:r>
                    <w:rPr>
                      <w:rFonts w:ascii="仿宋_GB2312" w:hAnsi="仿宋_GB2312" w:cs="仿宋_GB2312" w:eastAsia="仿宋_GB2312"/>
                      <w:sz w:val="19"/>
                    </w:rPr>
                    <w:t>4、脚套塑料件：脚套采用环保PP工程塑料，一次注塑成型，前脚套尺寸：100*40*60mm±2mm，后脚套尺寸：150*40*85mm±2mm。前脚套为加长型，保护脚踩部位不易磨损，脚套底部做加厚处理，并且带防滑功能；★提供带有CMA标识省级及以上检测机构出具的脚套塑料件检测报告：符合GB18584-2024《家具中有害物质限量》、GB/T32487-2016《塑料家具通用技术条件》、GB/T31402-2023抗菌性能的要求，表面粗糙度符合GB/T 14234-1993《塑料件表面粗糙度》塑料件表面的微观不平度要求；拉伸性能符合GB/T 1040.1-2025要求；冲击性能符合GB/T 1043.1-2008《塑料简支梁冲击性能的测定》要求；弯曲性能（抗变形）符合GB/T 9341-2008《塑料弯曲性能的测定》要求；硬度（抗压痕）符合GB/T 2411-2008《塑料和硬橡胶 使用硬度计测定压痕硬度（邵氏硬度）》要求；热变形温度（耐热）符合GB/T 1634.2-2019《塑料负荷变形温度的测定》；维卡软化温度（耐热软化）符合GB/T 1633-2025《热塑性塑料维卡软化温度(VST)的测定》；人工气候老化（耐候性）符合GB/T 16422.3-2022《塑料实验室光源暴露试验方法 第3部分：荧光紫外灯》要求；</w:t>
                  </w:r>
                </w:p>
                <w:p>
                  <w:pPr>
                    <w:pStyle w:val="null3"/>
                    <w:jc w:val="left"/>
                  </w:pPr>
                  <w:r>
                    <w:rPr>
                      <w:rFonts w:ascii="仿宋_GB2312" w:hAnsi="仿宋_GB2312" w:cs="仿宋_GB2312" w:eastAsia="仿宋_GB2312"/>
                      <w:sz w:val="19"/>
                    </w:rPr>
                    <w:t>5、螺丝五金件：采用优质五金配件★提供带有CMA标识省级及以上检测机构出具的螺丝五金件检测报告：符合QB/T3826-1999《轻工产品金属镀层和化学处理层的耐腐蚀试验方法中性盐雾试验(NSS)法》、QB/T3832-1999-《轻工产品金属镀层腐蚀试验结果的评价》要求；乙酸盐雾试验(ASS)符合GB/T 10125-2021《人造气氛腐蚀试验 盐雾试验》 连续喷雾480h，金属表面镀层保护等级10级、耐腐蚀等级10级；</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1068</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drawing>
                      <wp:inline distT="0" distR="0" distB="0" distL="0">
                        <wp:extent cx="37465" cy="44824"/>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37465" cy="44824"/>
                                </a:xfrm>
                                <a:prstGeom prst="rect">
                                  <a:avLst/>
                                </a:prstGeom>
                              </pic:spPr>
                            </pic:pic>
                          </a:graphicData>
                        </a:graphic>
                      </wp:inline>
                    </w:drawing>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课椅</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1、椅子面板：椅子座板采用塑料中空吹塑一次成型，规格为：385mm*375mm；椅子靠背板采用塑料中空吹塑一次成型，规格为：415mm*245mm。颜色为豆绿色（颜色可选）。</w:t>
                  </w:r>
                  <w:r>
                    <w:br/>
                  </w:r>
                  <w:r>
                    <w:rPr>
                      <w:rFonts w:ascii="仿宋_GB2312" w:hAnsi="仿宋_GB2312" w:cs="仿宋_GB2312" w:eastAsia="仿宋_GB2312"/>
                      <w:sz w:val="21"/>
                      <w:color w:val="000000"/>
                    </w:rPr>
                    <w:t>2、椅子用管：椅子下插管采用25mm*50mm优质椭圆管折弯成型，厚度为1.2mm；椅子上插管采用20mm*40mm优质椭圆管折弯成型，厚度为1.2mm；椅子面板支撑管采用20mm*40mm*1.2mm优质椭圆管折弯成型，椅子连接管均采用20mm*40mm*1.2mm厚的优质椭圆管。</w:t>
                  </w:r>
                  <w:r>
                    <w:br/>
                  </w:r>
                  <w:r>
                    <w:rPr>
                      <w:rFonts w:ascii="仿宋_GB2312" w:hAnsi="仿宋_GB2312" w:cs="仿宋_GB2312" w:eastAsia="仿宋_GB2312"/>
                      <w:sz w:val="21"/>
                      <w:color w:val="000000"/>
                    </w:rPr>
                    <w:t>3、脚套塑料件：脚套采用环保PP工程塑料，一次注塑成型，前脚套尺寸：100*40*60mm±2mm，后脚套尺寸：150*40*85mm±2mm。</w:t>
                  </w:r>
                  <w:r>
                    <w:br/>
                  </w:r>
                  <w:r>
                    <w:rPr>
                      <w:rFonts w:ascii="仿宋_GB2312" w:hAnsi="仿宋_GB2312" w:cs="仿宋_GB2312" w:eastAsia="仿宋_GB2312"/>
                      <w:sz w:val="21"/>
                      <w:color w:val="000000"/>
                    </w:rPr>
                    <w:t>4、螺丝五金件：采用优质五金配件</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1068</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1"/>
              </w:rPr>
              <w:t>二、其他要求：</w:t>
            </w:r>
          </w:p>
          <w:p>
            <w:pPr>
              <w:pStyle w:val="null3"/>
              <w:ind w:firstLine="420"/>
              <w:jc w:val="both"/>
            </w:pPr>
            <w:r>
              <w:rPr>
                <w:rFonts w:ascii="仿宋_GB2312" w:hAnsi="仿宋_GB2312" w:cs="仿宋_GB2312" w:eastAsia="仿宋_GB2312"/>
                <w:sz w:val="21"/>
              </w:rPr>
              <w:t>1、项目验收分初验和终验:</w:t>
            </w:r>
          </w:p>
          <w:p>
            <w:pPr>
              <w:pStyle w:val="null3"/>
              <w:ind w:firstLine="420"/>
              <w:jc w:val="both"/>
            </w:pPr>
            <w:r>
              <w:rPr>
                <w:rFonts w:ascii="仿宋_GB2312" w:hAnsi="仿宋_GB2312" w:cs="仿宋_GB2312" w:eastAsia="仿宋_GB2312"/>
                <w:sz w:val="21"/>
              </w:rPr>
              <w:t>初验：货物到达交货地点后，由使用单位根据合同对货物（设备）的名称、品牌、规格、型号、产地、数量进行检查。</w:t>
            </w:r>
          </w:p>
          <w:p>
            <w:pPr>
              <w:pStyle w:val="null3"/>
              <w:ind w:firstLine="420"/>
              <w:jc w:val="both"/>
            </w:pPr>
            <w:r>
              <w:rPr>
                <w:rFonts w:ascii="仿宋_GB2312" w:hAnsi="仿宋_GB2312" w:cs="仿宋_GB2312" w:eastAsia="仿宋_GB2312"/>
                <w:sz w:val="21"/>
              </w:rPr>
              <w:t>终验：所有货物</w:t>
            </w:r>
            <w:r>
              <w:rPr>
                <w:rFonts w:ascii="仿宋_GB2312" w:hAnsi="仿宋_GB2312" w:cs="仿宋_GB2312" w:eastAsia="仿宋_GB2312"/>
                <w:sz w:val="21"/>
              </w:rPr>
              <w:t>(设备)安装、调试完毕，正常使用10个日历日后，由采购人进行终验（最终验收），合格后签发《终验合格单》。    2、验收不合格的中标单位，必须在接到通知后7个日历日内确保货物通过验收。如接到通知后7个日历日内验收仍不合格，采购人可提出索赔或取消其供货合同。</w:t>
            </w:r>
          </w:p>
          <w:p>
            <w:pPr>
              <w:pStyle w:val="null3"/>
              <w:ind w:firstLine="420"/>
              <w:jc w:val="both"/>
            </w:pPr>
            <w:r>
              <w:rPr>
                <w:rFonts w:ascii="仿宋_GB2312" w:hAnsi="仿宋_GB2312" w:cs="仿宋_GB2312" w:eastAsia="仿宋_GB2312"/>
                <w:sz w:val="21"/>
              </w:rPr>
              <w:t>3、验收依据</w:t>
            </w:r>
          </w:p>
          <w:p>
            <w:pPr>
              <w:pStyle w:val="null3"/>
              <w:ind w:firstLine="420"/>
              <w:jc w:val="both"/>
            </w:pPr>
            <w:r>
              <w:rPr>
                <w:rFonts w:ascii="仿宋_GB2312" w:hAnsi="仿宋_GB2312" w:cs="仿宋_GB2312" w:eastAsia="仿宋_GB2312"/>
                <w:sz w:val="21"/>
              </w:rPr>
              <w:t>3.1合同文本及合同补充文件（条款）；</w:t>
            </w:r>
          </w:p>
          <w:p>
            <w:pPr>
              <w:pStyle w:val="null3"/>
              <w:ind w:firstLine="420"/>
              <w:jc w:val="both"/>
            </w:pPr>
            <w:r>
              <w:rPr>
                <w:rFonts w:ascii="仿宋_GB2312" w:hAnsi="仿宋_GB2312" w:cs="仿宋_GB2312" w:eastAsia="仿宋_GB2312"/>
                <w:sz w:val="21"/>
              </w:rPr>
              <w:t>3.2产品的合法来源渠道证明文件、响应功能证明材料；</w:t>
            </w:r>
          </w:p>
          <w:p>
            <w:pPr>
              <w:pStyle w:val="null3"/>
              <w:ind w:firstLine="420"/>
              <w:jc w:val="both"/>
            </w:pPr>
            <w:r>
              <w:rPr>
                <w:rFonts w:ascii="仿宋_GB2312" w:hAnsi="仿宋_GB2312" w:cs="仿宋_GB2312" w:eastAsia="仿宋_GB2312"/>
                <w:sz w:val="21"/>
              </w:rPr>
              <w:t>3.3谈判文件；</w:t>
            </w:r>
          </w:p>
          <w:p>
            <w:pPr>
              <w:pStyle w:val="null3"/>
              <w:ind w:firstLine="420"/>
              <w:jc w:val="both"/>
            </w:pPr>
            <w:r>
              <w:rPr>
                <w:rFonts w:ascii="仿宋_GB2312" w:hAnsi="仿宋_GB2312" w:cs="仿宋_GB2312" w:eastAsia="仿宋_GB2312"/>
                <w:sz w:val="21"/>
              </w:rPr>
              <w:t>3.4成交供应商的响应文件；</w:t>
            </w:r>
          </w:p>
          <w:p>
            <w:pPr>
              <w:pStyle w:val="null3"/>
              <w:ind w:firstLine="420"/>
              <w:jc w:val="both"/>
            </w:pPr>
            <w:r>
              <w:rPr>
                <w:rFonts w:ascii="仿宋_GB2312" w:hAnsi="仿宋_GB2312" w:cs="仿宋_GB2312" w:eastAsia="仿宋_GB2312"/>
                <w:sz w:val="21"/>
              </w:rPr>
              <w:t>3.5货物清单；</w:t>
            </w:r>
          </w:p>
          <w:p>
            <w:pPr>
              <w:pStyle w:val="null3"/>
              <w:ind w:firstLine="420"/>
              <w:jc w:val="both"/>
            </w:pPr>
            <w:r>
              <w:rPr>
                <w:rFonts w:ascii="仿宋_GB2312" w:hAnsi="仿宋_GB2312" w:cs="仿宋_GB2312" w:eastAsia="仿宋_GB2312"/>
                <w:sz w:val="21"/>
              </w:rPr>
              <w:t>3.6生产厂家的企业资质、货物的执行标准。</w:t>
            </w:r>
          </w:p>
          <w:p>
            <w:pPr>
              <w:pStyle w:val="null3"/>
              <w:jc w:val="both"/>
            </w:pPr>
            <w:r>
              <w:rPr>
                <w:rFonts w:ascii="仿宋_GB2312" w:hAnsi="仿宋_GB2312" w:cs="仿宋_GB2312" w:eastAsia="仿宋_GB2312"/>
                <w:sz w:val="21"/>
              </w:rPr>
              <w:t>★三、商务要求</w:t>
            </w:r>
          </w:p>
          <w:p>
            <w:pPr>
              <w:pStyle w:val="null3"/>
              <w:ind w:firstLine="420"/>
              <w:jc w:val="both"/>
            </w:pPr>
            <w:r>
              <w:rPr>
                <w:rFonts w:ascii="仿宋_GB2312" w:hAnsi="仿宋_GB2312" w:cs="仿宋_GB2312" w:eastAsia="仿宋_GB2312"/>
                <w:sz w:val="21"/>
              </w:rPr>
              <w:t>1、交货期：自合同签订之后30天</w:t>
            </w:r>
          </w:p>
          <w:p>
            <w:pPr>
              <w:pStyle w:val="null3"/>
              <w:ind w:firstLine="420"/>
              <w:jc w:val="both"/>
            </w:pPr>
            <w:r>
              <w:rPr>
                <w:rFonts w:ascii="仿宋_GB2312" w:hAnsi="仿宋_GB2312" w:cs="仿宋_GB2312" w:eastAsia="仿宋_GB2312"/>
                <w:sz w:val="21"/>
              </w:rPr>
              <w:t>2、质保期：（1）质保期为终验合格后不少于12个月。供应商承诺的质保时间超过谈判文件要求的，按其承诺时间质保。</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2）供应商承诺的质保期起始时间为终验合格之日。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3）所有产品质量必须符合国家有关规范和相关政策。所有设备及辅材必须是未使用过的新产品，质量优良、渠道正当，配置合理。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4）质保期出现的质量问题由供应商负责解决并承担所有费用。设备在安装后12个月内若出现质量问题，免费提供设备更换和维修，之后设备出现问题，提供维修服务。</w:t>
            </w:r>
          </w:p>
          <w:p>
            <w:pPr>
              <w:pStyle w:val="null3"/>
              <w:jc w:val="both"/>
            </w:pPr>
            <w:r>
              <w:rPr>
                <w:rFonts w:ascii="仿宋_GB2312" w:hAnsi="仿宋_GB2312" w:cs="仿宋_GB2312" w:eastAsia="仿宋_GB2312"/>
                <w:sz w:val="21"/>
              </w:rPr>
              <w:t>3、付款方式：</w:t>
            </w:r>
            <w:r>
              <w:rPr>
                <w:rFonts w:ascii="仿宋_GB2312" w:hAnsi="仿宋_GB2312" w:cs="仿宋_GB2312" w:eastAsia="仿宋_GB2312"/>
              </w:rPr>
              <w:t xml:space="preserve"> </w:t>
            </w:r>
            <w:r>
              <w:rPr>
                <w:rFonts w:ascii="仿宋_GB2312" w:hAnsi="仿宋_GB2312" w:cs="仿宋_GB2312" w:eastAsia="仿宋_GB2312"/>
                <w:sz w:val="21"/>
              </w:rPr>
              <w:t>供货安装调试经验收合格并交付使用，在满足支付条件后两个月内供应商向采购人提供足额发票，采购人自收到发票后</w:t>
            </w:r>
            <w:r>
              <w:rPr>
                <w:rFonts w:ascii="仿宋_GB2312" w:hAnsi="仿宋_GB2312" w:cs="仿宋_GB2312" w:eastAsia="仿宋_GB2312"/>
                <w:sz w:val="21"/>
              </w:rPr>
              <w:t>10个工作日内支付合同款项。</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自合同签订之后30天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其他，供货安装调试经验收合格并交付使用，在满足支付条件后两个月内供应商向采购人提供足额发票，采购人自收到发票后10个工作日内支付合同款项，达到付款条件起10个工作日内，支付合同总金额的100.0%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（一）提供注册登记凭证（营业执照、其他组织经营的合法凭证，自然人的提供身份证明文件）。 （二）具有良好的商业信誉和健全的财务会计制度。提供2024年或2025年经审计的财务报告（包括四表一注，即资产负债表、利润表、现金流量表、所有者权益变动表及其附注），且无反对意见；事业法人提供部门决算报告；/或在谈判日期前六个月内其基本开户银行出具的资信证明（附基本存款账户信息等证明材料）；/或专业担保机构出具的谈判担保函；/或供应商基本资格条件承诺函。 以上四种形式的资料提供任何一种即可。 （三）具有履行合同所必需的设备和专业技术能力。提供诚信承诺。 （四）具有依法缴纳税收的良好记录。提供缴费所属日期为谈判时间前12个月内任一月份（谈判时间当月不计入）的缴费凭据或税务机关出具的完税证明或（在法规范围内不需提供的应出具书面说明和证明文件）；/或供应商基本资格条件承诺函。以上形式的资料提供任何一种即可。 （五）具有依法缴纳社会保障资金的良好记录。提供缴费所属日期为谈判时间前12个月内任一月份（谈判截止时间当月不计入）的缴费凭据或社保机关出具的缴费证明/在法规范围内不需提供的应出具书面说明和证明文件/或供应商基本资格条件承诺函。以上形式的资料提供任何一种即可。 （六）参加政府采购活动前3年内在经营活动中没有重大违法记录的书面声明。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列入失信被执行人、严重失信主体名单、重大税收违法失信主体供应商，不得为“中国政府采购网”（www.ccgp.gov.cn）政府采购严重违法失信行为记录中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法定代表人授权书及本单位证明</w:t>
            </w:r>
          </w:p>
        </w:tc>
        <w:tc>
          <w:tcPr>
            <w:tcW w:type="dxa" w:w="3322"/>
          </w:tcPr>
          <w:p>
            <w:pPr>
              <w:pStyle w:val="null3"/>
            </w:pPr>
            <w:r>
              <w:rPr>
                <w:rFonts w:ascii="仿宋_GB2312" w:hAnsi="仿宋_GB2312" w:cs="仿宋_GB2312" w:eastAsia="仿宋_GB2312"/>
              </w:rPr>
              <w:t>法定代表人参加谈判的，须出示身份证；法定代表人授权他人参加谈判的，须提供法定代表人授权委托书、被授权人身份证及被授权人本单位证明 (近6个月内任意1个月社保缴纳证明)。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（一）评审中出现下列情形之一的，评审委员会应当启动异常低价响应审查程序：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4.评审委员会基于专业判断，认为供应商报价过低，有可能影响产品质量或者不能诚信履约的其他情形。 （二）评审委员会启动异常低价响应审查后，属于前述第1项至第4项情形的，应当要求相关供应商在评审现场规定的时间内对响应价格作出解释，提供项目具体成本测算等与报价合理性相关的书面说明及必要的证明材料，包括但不限于原材料成本、人工成本、制造费用等。其中，属于第3项情形，供应商已随响应文件一并提交相关书面说明及必要的证明材料的，在评审现场可不再重复提交。 评审委员会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评审委员会应当将其作为无效响应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响应文件的完整性审查</w:t>
            </w:r>
          </w:p>
        </w:tc>
        <w:tc>
          <w:tcPr>
            <w:tcW w:type="dxa" w:w="3322"/>
          </w:tcPr>
          <w:p>
            <w:pPr>
              <w:pStyle w:val="null3"/>
            </w:pPr>
            <w:r>
              <w:rPr>
                <w:rFonts w:ascii="仿宋_GB2312" w:hAnsi="仿宋_GB2312" w:cs="仿宋_GB2312" w:eastAsia="仿宋_GB2312"/>
              </w:rPr>
              <w:t>是否按照采购文件要求的格式编写。响应文件的签署、加盖印章是否有效。</w:t>
            </w:r>
          </w:p>
        </w:tc>
        <w:tc>
          <w:tcPr>
            <w:tcW w:type="dxa" w:w="1661"/>
          </w:tcPr>
          <w:p>
            <w:pPr>
              <w:pStyle w:val="null3"/>
            </w:pPr>
            <w:r>
              <w:rPr>
                <w:rFonts w:ascii="仿宋_GB2312" w:hAnsi="仿宋_GB2312" w:cs="仿宋_GB2312" w:eastAsia="仿宋_GB2312"/>
              </w:rPr>
              <w:t>响应方案说明书.docx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响应文件的有效性审查</w:t>
            </w:r>
          </w:p>
        </w:tc>
        <w:tc>
          <w:tcPr>
            <w:tcW w:type="dxa" w:w="3322"/>
          </w:tcPr>
          <w:p>
            <w:pPr>
              <w:pStyle w:val="null3"/>
            </w:pPr>
            <w:r>
              <w:rPr>
                <w:rFonts w:ascii="仿宋_GB2312" w:hAnsi="仿宋_GB2312" w:cs="仿宋_GB2312" w:eastAsia="仿宋_GB2312"/>
              </w:rPr>
              <w:t>响应报价是否未超过采购预算；响应报价有效期是否符合谈判文件的要求。</w:t>
            </w:r>
          </w:p>
        </w:tc>
        <w:tc>
          <w:tcPr>
            <w:tcW w:type="dxa" w:w="1661"/>
          </w:tcPr>
          <w:p>
            <w:pPr>
              <w:pStyle w:val="null3"/>
            </w:pPr>
            <w:r>
              <w:rPr>
                <w:rFonts w:ascii="仿宋_GB2312" w:hAnsi="仿宋_GB2312" w:cs="仿宋_GB2312" w:eastAsia="仿宋_GB2312"/>
              </w:rPr>
              <w:t>响应方案说明书.docx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响应文件的响应性审查</w:t>
            </w:r>
          </w:p>
        </w:tc>
        <w:tc>
          <w:tcPr>
            <w:tcW w:type="dxa" w:w="3322"/>
          </w:tcPr>
          <w:p>
            <w:pPr>
              <w:pStyle w:val="null3"/>
            </w:pPr>
            <w:r>
              <w:rPr>
                <w:rFonts w:ascii="仿宋_GB2312" w:hAnsi="仿宋_GB2312" w:cs="仿宋_GB2312" w:eastAsia="仿宋_GB2312"/>
              </w:rPr>
              <w:t>是否满足采购文件的实质性要求（其中带“★”的参数需求为实质性要求，供应商必须响应并满足，按照要求提供相关证明材料）；核心产品需提供货物合法来源证明，包括但不限于原厂授权、销售协议、代理协议等相关证明材料，未提供视为无效。</w:t>
            </w:r>
          </w:p>
        </w:tc>
        <w:tc>
          <w:tcPr>
            <w:tcW w:type="dxa" w:w="1661"/>
          </w:tcPr>
          <w:p>
            <w:pPr>
              <w:pStyle w:val="null3"/>
            </w:pPr>
            <w:r>
              <w:rPr>
                <w:rFonts w:ascii="仿宋_GB2312" w:hAnsi="仿宋_GB2312" w:cs="仿宋_GB2312" w:eastAsia="仿宋_GB2312"/>
              </w:rPr>
              <w:t>响应方案说明书.docx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详见附件：响应方案说明书.docx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