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版本号：HHGJZC2026-GK374.20260521001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FTTH带宽及无线网络服务项目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HHGJZC2026-GK374.</w:t>
      </w:r>
      <w:r>
        <w:br/>
      </w:r>
      <w:r>
        <w:br/>
      </w:r>
      <w:r>
        <w:br/>
      </w:r>
    </w:p>
    <w:p>
      <w:pPr>
        <w:pStyle w:val="null3"/>
        <w:jc w:val="center"/>
        <w:outlineLvl w:val="2"/>
      </w:pPr>
      <w:r>
        <w:rPr>
          <w:rFonts w:ascii="仿宋_GB2312" w:hAnsi="仿宋_GB2312" w:cs="仿宋_GB2312" w:eastAsia="仿宋_GB2312"/>
          <w:sz w:val="28"/>
          <w:b/>
        </w:rPr>
        <w:t>陕西科技大学</w:t>
      </w:r>
    </w:p>
    <w:p>
      <w:pPr>
        <w:pStyle w:val="null3"/>
        <w:jc w:val="center"/>
        <w:outlineLvl w:val="2"/>
      </w:pPr>
      <w:r>
        <w:rPr>
          <w:rFonts w:ascii="仿宋_GB2312" w:hAnsi="仿宋_GB2312" w:cs="仿宋_GB2312" w:eastAsia="仿宋_GB2312"/>
          <w:sz w:val="28"/>
          <w:b/>
        </w:rPr>
        <w:t>陕西华海国际项目管理有限公司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陕西华海国际项目管理有限公司</w:t>
      </w:r>
      <w:r>
        <w:rPr>
          <w:rFonts w:ascii="仿宋_GB2312" w:hAnsi="仿宋_GB2312" w:cs="仿宋_GB2312" w:eastAsia="仿宋_GB2312"/>
        </w:rPr>
        <w:t>（以下简称“代理机构”）受</w:t>
      </w:r>
      <w:r>
        <w:rPr>
          <w:rFonts w:ascii="仿宋_GB2312" w:hAnsi="仿宋_GB2312" w:cs="仿宋_GB2312" w:eastAsia="仿宋_GB2312"/>
        </w:rPr>
        <w:t>陕西科技大学</w:t>
      </w:r>
      <w:r>
        <w:rPr>
          <w:rFonts w:ascii="仿宋_GB2312" w:hAnsi="仿宋_GB2312" w:cs="仿宋_GB2312" w:eastAsia="仿宋_GB2312"/>
        </w:rPr>
        <w:t>委托，拟对</w:t>
      </w:r>
      <w:r>
        <w:rPr>
          <w:rFonts w:ascii="仿宋_GB2312" w:hAnsi="仿宋_GB2312" w:cs="仿宋_GB2312" w:eastAsia="仿宋_GB2312"/>
        </w:rPr>
        <w:t>FTTH带宽及无线网络服务项目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HHGJZC2026-GK374.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FTTH带宽及无线网络服务项目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陕西科技大学FTTH带宽及无线网络服务项目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授权委托书：法定代表人直接参加投标的，须出具法定代表人身份证明；法定代表人委托代理人参加投标的，须出具法定代表人授权书（附法定代表人、代理人身份证复印件）及代理人本单位证明（开标前六个月内任意一个月养老保险缴纳证明）</w:t>
      </w:r>
    </w:p>
    <w:p>
      <w:pPr>
        <w:pStyle w:val="null3"/>
      </w:pPr>
      <w:r>
        <w:rPr>
          <w:rFonts w:ascii="仿宋_GB2312" w:hAnsi="仿宋_GB2312" w:cs="仿宋_GB2312" w:eastAsia="仿宋_GB2312"/>
        </w:rPr>
        <w:t>2、信用信息：投标人不得为“信用中国”网站（www.creditchina.gov.cn）（中国执行信息公开网）中被列入失信被执行人、重大税收违法失信主体和中国政府采购网（www.ccgp.gov.cn）政府采购严重违法失信行为记录名单的单位；（投标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p>
      <w:pPr>
        <w:pStyle w:val="null3"/>
      </w:pPr>
      <w:r>
        <w:rPr>
          <w:rFonts w:ascii="仿宋_GB2312" w:hAnsi="仿宋_GB2312" w:cs="仿宋_GB2312" w:eastAsia="仿宋_GB2312"/>
        </w:rPr>
        <w:t>3、企业资质：供应商须提供《中华人民共和国增值电信业务经营许可证》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西安市未央大学城陕西科技大学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029-86168376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陕西华海国际项目管理有限公司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西安市经济技术开发区明光路凤城五路FED创新中心B座312室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吕博延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18791915545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采购包1：4,320,000.00元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有关规定的65%执行。 (备注:本项目代理服务费以三年服务期总中标金额(中标金额×3)为计费基数计算，中标单位在领取中标通知书前，须向采购代理机构一次性支付代理服务费） 代理服务费缴纳信息： 名称：陕西华海国际项目管理有限公司 开户银行：中信银行股份有限公司西安分行营业部 银行账户：8111701013100567082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陕西科技大学</w:t>
      </w:r>
      <w:r>
        <w:rPr>
          <w:rFonts w:ascii="仿宋_GB2312" w:hAnsi="仿宋_GB2312" w:cs="仿宋_GB2312" w:eastAsia="仿宋_GB2312"/>
        </w:rPr>
        <w:t>和</w:t>
      </w:r>
      <w:r>
        <w:rPr>
          <w:rFonts w:ascii="仿宋_GB2312" w:hAnsi="仿宋_GB2312" w:cs="仿宋_GB2312" w:eastAsia="仿宋_GB2312"/>
        </w:rPr>
        <w:t>陕西华海国际项目管理有限公司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陕西科技大学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陕西华海国际项目管理有限公司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陕西华海国际项目管理有限公司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按照国家有关标准、招投标文件及合同有关内容执行。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陕西华海国际项目管理有限公司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陕西华海国际项目管理有限公司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陕西华海国际项目管理有限公司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联系人：吕博延</w:t>
      </w:r>
    </w:p>
    <w:p>
      <w:pPr>
        <w:pStyle w:val="null3"/>
      </w:pPr>
      <w:r>
        <w:rPr>
          <w:rFonts w:ascii="仿宋_GB2312" w:hAnsi="仿宋_GB2312" w:cs="仿宋_GB2312" w:eastAsia="仿宋_GB2312"/>
        </w:rPr>
        <w:t>联系电话：18791915545</w:t>
      </w:r>
    </w:p>
    <w:p>
      <w:pPr>
        <w:pStyle w:val="null3"/>
      </w:pPr>
      <w:r>
        <w:rPr>
          <w:rFonts w:ascii="仿宋_GB2312" w:hAnsi="仿宋_GB2312" w:cs="仿宋_GB2312" w:eastAsia="仿宋_GB2312"/>
        </w:rPr>
        <w:t>地址：西安市经济技术开发区明光路凤城五路FED创新中心B座312室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陕西科技大学FTTH带宽及无线网络服务项目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4,320,000.00</w:t>
      </w:r>
    </w:p>
    <w:p>
      <w:pPr>
        <w:pStyle w:val="null3"/>
      </w:pPr>
      <w:r>
        <w:rPr>
          <w:rFonts w:ascii="仿宋_GB2312" w:hAnsi="仿宋_GB2312" w:cs="仿宋_GB2312" w:eastAsia="仿宋_GB2312"/>
        </w:rPr>
        <w:t>采购包最高限价（元）: 4,320,000.00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FTTH带宽及无线网络服务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4,320,000.00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信息传输业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标的名称：FTTH带宽及无线网络服务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本次采购学生区学生公寓及西安咸阳家属区</w:t>
            </w:r>
            <w:r>
              <w:rPr>
                <w:rFonts w:ascii="仿宋_GB2312" w:hAnsi="仿宋_GB2312" w:cs="仿宋_GB2312" w:eastAsia="仿宋_GB2312"/>
              </w:rPr>
              <w:t>FTTH共计7600户，每户独享不低于100Mbps，教学区出口带宽30Gbps，同时为学生区提供免费无线上网服务。FTTH用户所有线路、光猫及无线网络相关设备由供应商统一提供，学校不额外支付费用。本次项目FTTH、30Gbps带宽服务、无线网络服务周期为2026年8月1日至2029年7月31日，合同签订后每年支付一次费用。</w:t>
            </w:r>
            <w:r>
              <w:rPr>
                <w:rFonts w:ascii="仿宋_GB2312" w:hAnsi="仿宋_GB2312" w:cs="仿宋_GB2312" w:eastAsia="仿宋_GB2312"/>
              </w:rPr>
              <w:t>本次采购预算为一年预算金额。</w:t>
            </w:r>
            <w:r>
              <w:rPr>
                <w:rFonts w:ascii="仿宋_GB2312" w:hAnsi="仿宋_GB2312" w:cs="仿宋_GB2312" w:eastAsia="仿宋_GB2312"/>
              </w:rPr>
              <w:t>本次项目的主要技术指标及相关服务求如下：</w:t>
            </w:r>
          </w:p>
          <w:p>
            <w:pPr>
              <w:pStyle w:val="null3"/>
            </w:pPr>
            <w:r>
              <w:rPr>
                <w:rFonts w:ascii="仿宋_GB2312" w:hAnsi="仿宋_GB2312" w:cs="仿宋_GB2312" w:eastAsia="仿宋_GB2312"/>
              </w:rPr>
              <w:t>一、校园网出口扩容</w:t>
            </w:r>
          </w:p>
          <w:p>
            <w:pPr>
              <w:pStyle w:val="null3"/>
            </w:pPr>
            <w:r>
              <w:rPr>
                <w:rFonts w:ascii="仿宋_GB2312" w:hAnsi="仿宋_GB2312" w:cs="仿宋_GB2312" w:eastAsia="仿宋_GB2312"/>
              </w:rPr>
              <w:t>1、投标方提供30Gbps互联网带宽，所提供的带宽利用率不低于95%，接入地点需由本地局端至陕西科技大学教学楼中心机房，带宽附带IPV4接入地址不少于64个。</w:t>
            </w:r>
          </w:p>
          <w:p>
            <w:pPr>
              <w:pStyle w:val="null3"/>
            </w:pPr>
            <w:r>
              <w:rPr>
                <w:rFonts w:ascii="仿宋_GB2312" w:hAnsi="仿宋_GB2312" w:cs="仿宋_GB2312" w:eastAsia="仿宋_GB2312"/>
              </w:rPr>
              <w:t>2、链路质量：所提供的出口链路衰减值不能低于-15DB，链路长度不超过10km。</w:t>
            </w:r>
          </w:p>
          <w:p>
            <w:pPr>
              <w:pStyle w:val="null3"/>
            </w:pPr>
            <w:r>
              <w:rPr>
                <w:rFonts w:ascii="仿宋_GB2312" w:hAnsi="仿宋_GB2312" w:cs="仿宋_GB2312" w:eastAsia="仿宋_GB2312"/>
              </w:rPr>
              <w:t>3、投标方应向我方提供7×24小时的故障处理服务，故障由乙方维护人员进行处理。发生故障时，乙方应在30分钟内作出响应，2小时内到达现场处置，4小时内恢复故障。</w:t>
            </w:r>
          </w:p>
          <w:p>
            <w:pPr>
              <w:pStyle w:val="null3"/>
            </w:pPr>
            <w:r>
              <w:rPr>
                <w:rFonts w:ascii="仿宋_GB2312" w:hAnsi="仿宋_GB2312" w:cs="仿宋_GB2312" w:eastAsia="仿宋_GB2312"/>
              </w:rPr>
              <w:t>二、西安校区生活区及咸阳校区光纤入户</w:t>
            </w:r>
          </w:p>
          <w:p>
            <w:pPr>
              <w:pStyle w:val="null3"/>
            </w:pPr>
            <w:r>
              <w:rPr>
                <w:rFonts w:ascii="仿宋_GB2312" w:hAnsi="仿宋_GB2312" w:cs="仿宋_GB2312" w:eastAsia="仿宋_GB2312"/>
              </w:rPr>
              <w:t>1、由中标单位完成西安校区生活区及咸阳校区光纤入户改造，所需费用由投标方承担（不在本次招标预算内），我校按年度支付接入带宽使用费用。</w:t>
            </w:r>
          </w:p>
          <w:p>
            <w:pPr>
              <w:pStyle w:val="null3"/>
            </w:pPr>
            <w:r>
              <w:rPr>
                <w:rFonts w:ascii="仿宋_GB2312" w:hAnsi="仿宋_GB2312" w:cs="仿宋_GB2312" w:eastAsia="仿宋_GB2312"/>
              </w:rPr>
              <w:t>2、中标单位进行光纤改造时，整体建设光纤入户点位7600个。</w:t>
            </w:r>
          </w:p>
          <w:p>
            <w:pPr>
              <w:pStyle w:val="null3"/>
            </w:pPr>
            <w:r>
              <w:rPr>
                <w:rFonts w:ascii="仿宋_GB2312" w:hAnsi="仿宋_GB2312" w:cs="仿宋_GB2312" w:eastAsia="仿宋_GB2312"/>
              </w:rPr>
              <w:t>3、西安校区生活区光纤入户采用一级分光模式，分光要求1：32；咸阳校区光纤入户采用二级分光模式，分光要求1：4：8。投标方负责完成一级分光、二级分光、光缆布放、皮线入户及光猫安装调试等工作。</w:t>
            </w:r>
          </w:p>
          <w:p>
            <w:pPr>
              <w:pStyle w:val="null3"/>
            </w:pPr>
            <w:r>
              <w:rPr>
                <w:rFonts w:ascii="仿宋_GB2312" w:hAnsi="仿宋_GB2312" w:cs="仿宋_GB2312" w:eastAsia="仿宋_GB2312"/>
              </w:rPr>
              <w:t>4、中标单位为我校用户提供互联宽带网接入服务（接入方式光纤入户），实际接入点数不少于7600户，接入带宽不低于100Mbps每户独享，后期带宽使用按照市场原则，如国家政策、市场资费等下降时，投标方应按照市场资费标准对我校用户提供提速降费操作。</w:t>
            </w:r>
          </w:p>
          <w:p>
            <w:pPr>
              <w:pStyle w:val="null3"/>
            </w:pPr>
            <w:r>
              <w:rPr>
                <w:rFonts w:ascii="仿宋_GB2312" w:hAnsi="仿宋_GB2312" w:cs="仿宋_GB2312" w:eastAsia="仿宋_GB2312"/>
              </w:rPr>
              <w:t>5、改造后互联网接入服务由投标方安排专人进行维护，属地维护人员不少于1人。</w:t>
            </w:r>
          </w:p>
          <w:p>
            <w:pPr>
              <w:pStyle w:val="null3"/>
            </w:pPr>
            <w:r>
              <w:rPr>
                <w:rFonts w:ascii="仿宋_GB2312" w:hAnsi="仿宋_GB2312" w:cs="仿宋_GB2312" w:eastAsia="仿宋_GB2312"/>
              </w:rPr>
              <w:t>三、无线网络信号接入服务及维保服务</w:t>
            </w:r>
          </w:p>
          <w:p>
            <w:pPr>
              <w:pStyle w:val="null3"/>
            </w:pPr>
            <w:r>
              <w:rPr>
                <w:rFonts w:ascii="仿宋_GB2312" w:hAnsi="仿宋_GB2312" w:cs="仿宋_GB2312" w:eastAsia="仿宋_GB2312"/>
              </w:rPr>
              <w:t>中标单位需全面负责无线网络接入服务（无线网网络接入费用不在本次招标预算内），日常服务、故障处置、定期维护及优化升级，明确具体服务点位、服务标准及维护要求，确保网络覆盖达标、运行稳定，符合校园网络建设相关技术标准。</w:t>
            </w:r>
          </w:p>
          <w:p>
            <w:pPr>
              <w:pStyle w:val="null3"/>
            </w:pPr>
            <w:r>
              <w:rPr>
                <w:rFonts w:ascii="仿宋_GB2312" w:hAnsi="仿宋_GB2312" w:cs="仿宋_GB2312" w:eastAsia="仿宋_GB2312"/>
              </w:rPr>
              <w:t>无线网络接入服务内容</w:t>
            </w:r>
          </w:p>
          <w:p>
            <w:pPr>
              <w:pStyle w:val="null3"/>
            </w:pPr>
            <w:r>
              <w:rPr>
                <w:rFonts w:ascii="仿宋_GB2312" w:hAnsi="仿宋_GB2312" w:cs="仿宋_GB2312" w:eastAsia="仿宋_GB2312"/>
              </w:rPr>
              <w:t>本项服务专为宿舍楼打造全方位无线接入体系实现宿舍楼公共区域、楼道走廊及每一间宿舍内部的无线信号全覆盖，彻底满足师生日常学习、生活的无线用网需求，接入</w:t>
            </w:r>
            <w:r>
              <w:rPr>
                <w:rFonts w:ascii="仿宋_GB2312" w:hAnsi="仿宋_GB2312" w:cs="仿宋_GB2312" w:eastAsia="仿宋_GB2312"/>
              </w:rPr>
              <w:t>AP数量不少于1800颗。供应商所提供无线网络服务须完成与我校现有认证系统对接，所选组网设备须与学校现网无线设备无缝兼容；或供应商可整体部署新的认证系统及无线网络设备。供应商须在投标文件中提交详细对接兼容方案、技术实现说明，证明其具备相应实施能力。中标后须在2026年7月20日前完成对接测试或新建部署，测试不通过须无偿整改，整改仍不达标采购人有权取消中标资格并追究违约责任。</w:t>
            </w:r>
          </w:p>
          <w:p>
            <w:pPr>
              <w:pStyle w:val="null3"/>
            </w:pPr>
            <w:r>
              <w:rPr>
                <w:rFonts w:ascii="仿宋_GB2312" w:hAnsi="仿宋_GB2312" w:cs="仿宋_GB2312" w:eastAsia="仿宋_GB2312"/>
              </w:rPr>
              <w:t>1、校园网无线WIFI维护服务内容及技术要求</w:t>
            </w:r>
          </w:p>
          <w:p>
            <w:pPr>
              <w:pStyle w:val="null3"/>
            </w:pPr>
            <w:r>
              <w:rPr>
                <w:rFonts w:ascii="仿宋_GB2312" w:hAnsi="仿宋_GB2312" w:cs="仿宋_GB2312" w:eastAsia="仿宋_GB2312"/>
              </w:rPr>
              <w:t>（</w:t>
            </w:r>
            <w:r>
              <w:rPr>
                <w:rFonts w:ascii="仿宋_GB2312" w:hAnsi="仿宋_GB2312" w:cs="仿宋_GB2312" w:eastAsia="仿宋_GB2312"/>
              </w:rPr>
              <w:t>1）服务范围</w:t>
            </w:r>
          </w:p>
          <w:p>
            <w:pPr>
              <w:pStyle w:val="null3"/>
            </w:pPr>
            <w:r>
              <w:rPr>
                <w:rFonts w:ascii="仿宋_GB2312" w:hAnsi="仿宋_GB2312" w:cs="仿宋_GB2312" w:eastAsia="仿宋_GB2312"/>
              </w:rPr>
              <w:t>本次维护服务覆盖宿舍楼无线网络全系统，包含但不限于：</w:t>
            </w:r>
          </w:p>
          <w:p>
            <w:pPr>
              <w:pStyle w:val="null3"/>
            </w:pPr>
            <w:r>
              <w:rPr>
                <w:rFonts w:ascii="仿宋_GB2312" w:hAnsi="仿宋_GB2312" w:cs="仿宋_GB2312" w:eastAsia="仿宋_GB2312"/>
              </w:rPr>
              <w:t>支持</w:t>
            </w:r>
            <w:r>
              <w:rPr>
                <w:rFonts w:ascii="仿宋_GB2312" w:hAnsi="仿宋_GB2312" w:cs="仿宋_GB2312" w:eastAsia="仿宋_GB2312"/>
              </w:rPr>
              <w:t>WiFi6（802.11be） 核心技术，兼容2.4GHz、5GHz、6GHz三频段同步传输；支持20/40/80/160/240/320MHz多档位信道宽度灵活可调，适配不同场景的带宽需求；单个AP设备支持128路终端接入、64路终端并发连接，满足宿舍区高密度终端接入场景；无线网络终端跨AP切换时延小于100ms，保障师生在宿舍区内移动时网络无卡顿、无掉线，实现无缝漫游。</w:t>
            </w:r>
          </w:p>
          <w:p>
            <w:pPr>
              <w:pStyle w:val="null3"/>
            </w:pPr>
            <w:r>
              <w:rPr>
                <w:rFonts w:ascii="仿宋_GB2312" w:hAnsi="仿宋_GB2312" w:cs="仿宋_GB2312" w:eastAsia="仿宋_GB2312"/>
              </w:rPr>
              <w:t>保障无线传输的高速性与稳定性，严格遵循</w:t>
            </w:r>
            <w:r>
              <w:rPr>
                <w:rFonts w:ascii="仿宋_GB2312" w:hAnsi="仿宋_GB2312" w:cs="仿宋_GB2312" w:eastAsia="仿宋_GB2312"/>
              </w:rPr>
              <w:t>802.11be通信标准；支持动态调节无线网络信号覆盖强度、发射功率，实现各AP点位协同组网、智能联动，通过信号互补消除宿舍区内所有信号盲区、弱信号区域，确保全覆盖区域内无线信号均匀稳定，无网络死角，保障每间宿舍、每个公共区域的用网体验一致。</w:t>
            </w:r>
          </w:p>
          <w:p>
            <w:pPr>
              <w:pStyle w:val="null3"/>
            </w:pPr>
            <w:r>
              <w:rPr>
                <w:rFonts w:ascii="仿宋_GB2312" w:hAnsi="仿宋_GB2312" w:cs="仿宋_GB2312" w:eastAsia="仿宋_GB2312"/>
              </w:rPr>
              <w:t>支持</w:t>
            </w:r>
            <w:r>
              <w:rPr>
                <w:rFonts w:ascii="仿宋_GB2312" w:hAnsi="仿宋_GB2312" w:cs="仿宋_GB2312" w:eastAsia="仿宋_GB2312"/>
              </w:rPr>
              <w:t>4096-QAM调制技术，大幅提升数据调制效率与传输速率；网络传输可实现上下行带宽对等2488Mbps的高速速率，充分满足师生高清视频播放、大文件下载、在线课程学习、远程作业提交等高带宽、低延迟的用网需求。</w:t>
            </w:r>
          </w:p>
          <w:p>
            <w:pPr>
              <w:pStyle w:val="null3"/>
            </w:pPr>
            <w:r>
              <w:rPr>
                <w:rFonts w:ascii="仿宋_GB2312" w:hAnsi="仿宋_GB2312" w:cs="仿宋_GB2312" w:eastAsia="仿宋_GB2312"/>
              </w:rPr>
              <w:t>以及其他配套网络链路、无线信号覆盖、数据传输与安全管控等全流程运维服务。</w:t>
            </w:r>
          </w:p>
          <w:p>
            <w:pPr>
              <w:pStyle w:val="null3"/>
            </w:pPr>
            <w:r>
              <w:rPr>
                <w:rFonts w:ascii="仿宋_GB2312" w:hAnsi="仿宋_GB2312" w:cs="仿宋_GB2312" w:eastAsia="仿宋_GB2312"/>
              </w:rPr>
              <w:t>（</w:t>
            </w:r>
            <w:r>
              <w:rPr>
                <w:rFonts w:ascii="仿宋_GB2312" w:hAnsi="仿宋_GB2312" w:cs="仿宋_GB2312" w:eastAsia="仿宋_GB2312"/>
              </w:rPr>
              <w:t>2）基本服务要求</w:t>
            </w:r>
          </w:p>
          <w:p>
            <w:pPr>
              <w:pStyle w:val="null3"/>
            </w:pPr>
            <w:r>
              <w:rPr>
                <w:rFonts w:ascii="仿宋_GB2312" w:hAnsi="仿宋_GB2312" w:cs="仿宋_GB2312" w:eastAsia="仿宋_GB2312"/>
              </w:rPr>
              <w:t>1. 中标单位需组建专职专属运维团队，配备具备资质的技术人员，全程负责本项目维护工作，不得擅自更换运维人员，人员变动需提前7个工作日书面报备采购人。</w:t>
            </w:r>
          </w:p>
          <w:p>
            <w:pPr>
              <w:pStyle w:val="null3"/>
            </w:pPr>
            <w:r>
              <w:rPr>
                <w:rFonts w:ascii="仿宋_GB2312" w:hAnsi="仿宋_GB2312" w:cs="仿宋_GB2312" w:eastAsia="仿宋_GB2312"/>
              </w:rPr>
              <w:t>2. 服务期限内，确保无线网络系统全年稳定运行，非不可抗力因素导致的网络中断，需在规定时限内完成修复。</w:t>
            </w:r>
          </w:p>
          <w:p>
            <w:pPr>
              <w:pStyle w:val="null3"/>
            </w:pPr>
            <w:r>
              <w:rPr>
                <w:rFonts w:ascii="仿宋_GB2312" w:hAnsi="仿宋_GB2312" w:cs="仿宋_GB2312" w:eastAsia="仿宋_GB2312"/>
              </w:rPr>
              <w:t>3. 所有维护服务需遵守采购人校园网络管理相关规定，保障网络数据安全、用户信息安全，严禁泄露任何校园网络及用户隐私信息。</w:t>
            </w:r>
          </w:p>
          <w:p>
            <w:pPr>
              <w:pStyle w:val="null3"/>
            </w:pPr>
            <w:r>
              <w:rPr>
                <w:rFonts w:ascii="仿宋_GB2312" w:hAnsi="仿宋_GB2312" w:cs="仿宋_GB2312" w:eastAsia="仿宋_GB2312"/>
              </w:rPr>
              <w:t>4. 服务过程中需建立标准化台账，包括巡检记录、故障处理记录、设备维修/更换记录、性能优化记录等，每月向采购人提交运维报告，每季度提交总结分析报告。</w:t>
            </w:r>
          </w:p>
          <w:p>
            <w:pPr>
              <w:pStyle w:val="null3"/>
            </w:pPr>
            <w:r>
              <w:rPr>
                <w:rFonts w:ascii="仿宋_GB2312" w:hAnsi="仿宋_GB2312" w:cs="仿宋_GB2312" w:eastAsia="仿宋_GB2312"/>
              </w:rPr>
              <w:t>（</w:t>
            </w:r>
            <w:r>
              <w:rPr>
                <w:rFonts w:ascii="仿宋_GB2312" w:hAnsi="仿宋_GB2312" w:cs="仿宋_GB2312" w:eastAsia="仿宋_GB2312"/>
              </w:rPr>
              <w:t>3）具体维护服务内容</w:t>
            </w:r>
          </w:p>
          <w:p>
            <w:pPr>
              <w:pStyle w:val="null3"/>
            </w:pPr>
            <w:r>
              <w:rPr>
                <w:rFonts w:ascii="仿宋_GB2312" w:hAnsi="仿宋_GB2312" w:cs="仿宋_GB2312" w:eastAsia="仿宋_GB2312"/>
              </w:rPr>
              <w:t>（一）日常巡检维护</w:t>
            </w:r>
          </w:p>
          <w:p>
            <w:pPr>
              <w:pStyle w:val="null3"/>
            </w:pPr>
            <w:r>
              <w:rPr>
                <w:rFonts w:ascii="仿宋_GB2312" w:hAnsi="仿宋_GB2312" w:cs="仿宋_GB2312" w:eastAsia="仿宋_GB2312"/>
              </w:rPr>
              <w:t>1. 远程巡检：7×24小时实时远程监控所有网络设备运行状态、无线信号参数、网络带宽利用率、终端接入情况，每日生成远程巡检日志，发现异常立即预警。</w:t>
            </w:r>
          </w:p>
          <w:p>
            <w:pPr>
              <w:pStyle w:val="null3"/>
            </w:pPr>
            <w:r>
              <w:rPr>
                <w:rFonts w:ascii="仿宋_GB2312" w:hAnsi="仿宋_GB2312" w:cs="仿宋_GB2312" w:eastAsia="仿宋_GB2312"/>
              </w:rPr>
              <w:t>2. 现场巡检：每周对所有设备点位开展全覆盖现场巡检，核查设备供电、链路连接、硬件外观、信号发射等情况；每月针对宿舍楼宿舍内、走廊、公共区域进行无线信号抽测，形成现场巡检报告，及时整改巡检发现的问题。</w:t>
            </w:r>
          </w:p>
          <w:p>
            <w:pPr>
              <w:pStyle w:val="null3"/>
            </w:pPr>
            <w:r>
              <w:rPr>
                <w:rFonts w:ascii="仿宋_GB2312" w:hAnsi="仿宋_GB2312" w:cs="仿宋_GB2312" w:eastAsia="仿宋_GB2312"/>
              </w:rPr>
              <w:t>3. 环境维护：定期清理设备灰尘、整理布线线路，保障设备运行环境整洁，排除因环境因素导致的设备故障。</w:t>
            </w:r>
          </w:p>
          <w:p>
            <w:pPr>
              <w:pStyle w:val="null3"/>
            </w:pPr>
            <w:r>
              <w:rPr>
                <w:rFonts w:ascii="仿宋_GB2312" w:hAnsi="仿宋_GB2312" w:cs="仿宋_GB2312" w:eastAsia="仿宋_GB2312"/>
              </w:rPr>
              <w:t>（二）故障应急处理</w:t>
            </w:r>
          </w:p>
          <w:p>
            <w:pPr>
              <w:pStyle w:val="null3"/>
            </w:pPr>
            <w:r>
              <w:rPr>
                <w:rFonts w:ascii="仿宋_GB2312" w:hAnsi="仿宋_GB2312" w:cs="仿宋_GB2312" w:eastAsia="仿宋_GB2312"/>
              </w:rPr>
              <w:t>1. 建立7×24小时故障响应机制，设立专属报修热线与线上报修渠道，确保故障报修渠道畅通无阻。</w:t>
            </w:r>
          </w:p>
          <w:p>
            <w:pPr>
              <w:pStyle w:val="null3"/>
            </w:pPr>
            <w:r>
              <w:rPr>
                <w:rFonts w:ascii="仿宋_GB2312" w:hAnsi="仿宋_GB2312" w:cs="仿宋_GB2312" w:eastAsia="仿宋_GB2312"/>
              </w:rPr>
              <w:t>2. 接到故障报修后，15分钟内完成响应，远程排查处置；远程无法解决的，30分钟内抵达项目现场开展维修工作。</w:t>
            </w:r>
          </w:p>
          <w:p>
            <w:pPr>
              <w:pStyle w:val="null3"/>
            </w:pPr>
            <w:r>
              <w:rPr>
                <w:rFonts w:ascii="仿宋_GB2312" w:hAnsi="仿宋_GB2312" w:cs="仿宋_GB2312" w:eastAsia="仿宋_GB2312"/>
              </w:rPr>
              <w:t>3. 一般网络故障（如信号弱、单AP故障、终端接入异常）2小时内修复完成；重大硬件故障（交换机、核心设备损坏）4小时内完成同型号备用设备更换，网络中断类故障1小时内必须恢复，无法按时修复需提供书面说明并制定应急方案。</w:t>
            </w:r>
          </w:p>
          <w:p>
            <w:pPr>
              <w:pStyle w:val="null3"/>
            </w:pPr>
            <w:r>
              <w:rPr>
                <w:rFonts w:ascii="仿宋_GB2312" w:hAnsi="仿宋_GB2312" w:cs="仿宋_GB2312" w:eastAsia="仿宋_GB2312"/>
              </w:rPr>
              <w:t>4. 建立故障溯源机制，对重复出现的故障深入分析原因，制定长效解决措施，杜绝同类故障反复发生。</w:t>
            </w:r>
          </w:p>
          <w:p>
            <w:pPr>
              <w:pStyle w:val="null3"/>
            </w:pPr>
            <w:r>
              <w:rPr>
                <w:rFonts w:ascii="仿宋_GB2312" w:hAnsi="仿宋_GB2312" w:cs="仿宋_GB2312" w:eastAsia="仿宋_GB2312"/>
              </w:rPr>
              <w:t>（三）网络性能优化</w:t>
            </w:r>
          </w:p>
          <w:p>
            <w:pPr>
              <w:pStyle w:val="null3"/>
            </w:pPr>
            <w:r>
              <w:rPr>
                <w:rFonts w:ascii="仿宋_GB2312" w:hAnsi="仿宋_GB2312" w:cs="仿宋_GB2312" w:eastAsia="仿宋_GB2312"/>
              </w:rPr>
              <w:t>1. 每季度对无线网络进行全面性能优化，调整AP信道、发射功率、频段分配，优化网络并发接入策略，消除信号干扰与盲区，保障无线切换时延＜100ms，满足多终端高并发接入需求。</w:t>
            </w:r>
          </w:p>
          <w:p>
            <w:pPr>
              <w:pStyle w:val="null3"/>
            </w:pPr>
            <w:r>
              <w:rPr>
                <w:rFonts w:ascii="仿宋_GB2312" w:hAnsi="仿宋_GB2312" w:cs="仿宋_GB2312" w:eastAsia="仿宋_GB2312"/>
              </w:rPr>
              <w:t>2. 定期调试交换机、光模块传输性能，确保网络上下行带宽对等，调制技术稳定启用，维持高速数据传输状态。</w:t>
            </w:r>
          </w:p>
          <w:p>
            <w:pPr>
              <w:pStyle w:val="null3"/>
            </w:pPr>
            <w:r>
              <w:rPr>
                <w:rFonts w:ascii="仿宋_GB2312" w:hAnsi="仿宋_GB2312" w:cs="仿宋_GB2312" w:eastAsia="仿宋_GB2312"/>
              </w:rPr>
              <w:t>3. 优化内外网隔离策略、网络安全防护配置，提升网络安全性与稳定性，杜绝网络卡顿、延迟、丢包等问题。</w:t>
            </w:r>
          </w:p>
          <w:p>
            <w:pPr>
              <w:pStyle w:val="null3"/>
            </w:pPr>
            <w:r>
              <w:rPr>
                <w:rFonts w:ascii="仿宋_GB2312" w:hAnsi="仿宋_GB2312" w:cs="仿宋_GB2312" w:eastAsia="仿宋_GB2312"/>
              </w:rPr>
              <w:t>（四）设备与系统维保</w:t>
            </w:r>
          </w:p>
          <w:p>
            <w:pPr>
              <w:pStyle w:val="null3"/>
            </w:pPr>
            <w:r>
              <w:rPr>
                <w:rFonts w:ascii="仿宋_GB2312" w:hAnsi="仿宋_GB2312" w:cs="仿宋_GB2312" w:eastAsia="仿宋_GB2312"/>
              </w:rPr>
              <w:t>1. 负责所有运维范围内设备的日常保养、故障维修，维修所需配件、耗材均由中标方承担，维修更换的设备、配件必须为原厂全新正品。</w:t>
            </w:r>
          </w:p>
          <w:p>
            <w:pPr>
              <w:pStyle w:val="null3"/>
            </w:pPr>
            <w:r>
              <w:rPr>
                <w:rFonts w:ascii="仿宋_GB2312" w:hAnsi="仿宋_GB2312" w:cs="仿宋_GB2312" w:eastAsia="仿宋_GB2312"/>
              </w:rPr>
              <w:t>2. 定期对网络设备固件、系统软件进行升级修复，及时修补安全漏洞，保障设备兼容WiFi6（802.11be）技术标准，支持2.4GHz、5GHz、6GHz三频段稳定运行。</w:t>
            </w:r>
          </w:p>
          <w:p>
            <w:pPr>
              <w:pStyle w:val="null3"/>
            </w:pPr>
            <w:r>
              <w:rPr>
                <w:rFonts w:ascii="仿宋_GB2312" w:hAnsi="仿宋_GB2312" w:cs="仿宋_GB2312" w:eastAsia="仿宋_GB2312"/>
              </w:rPr>
              <w:t>3. 负责设备配置数据的定期备份，避免因配置丢失导致网络故障，备份数据留存期限不低于服务期满后6个月。</w:t>
            </w:r>
          </w:p>
          <w:p>
            <w:pPr>
              <w:pStyle w:val="null3"/>
            </w:pPr>
            <w:r>
              <w:rPr>
                <w:rFonts w:ascii="仿宋_GB2312" w:hAnsi="仿宋_GB2312" w:cs="仿宋_GB2312" w:eastAsia="仿宋_GB2312"/>
              </w:rPr>
              <w:t>（五）技术支持与服务</w:t>
            </w:r>
          </w:p>
          <w:p>
            <w:pPr>
              <w:pStyle w:val="null3"/>
            </w:pPr>
            <w:r>
              <w:rPr>
                <w:rFonts w:ascii="仿宋_GB2312" w:hAnsi="仿宋_GB2312" w:cs="仿宋_GB2312" w:eastAsia="仿宋_GB2312"/>
              </w:rPr>
              <w:t>1. 为校园师生提供7×24小时技术咨询服务，及时解答WiFi连接、网络使用、故障排查等问题。</w:t>
            </w:r>
          </w:p>
          <w:p>
            <w:pPr>
              <w:pStyle w:val="null3"/>
            </w:pPr>
            <w:r>
              <w:rPr>
                <w:rFonts w:ascii="仿宋_GB2312" w:hAnsi="仿宋_GB2312" w:cs="仿宋_GB2312" w:eastAsia="仿宋_GB2312"/>
              </w:rPr>
              <w:t>2. 每学期至少开展1次校园网络使用及安全培训，提升师生网络安全意识与用网能力；重大活动、考试期间，安排专人现场值守，提供专属网络保障服务。</w:t>
            </w:r>
          </w:p>
          <w:p>
            <w:pPr>
              <w:pStyle w:val="null3"/>
            </w:pPr>
            <w:r>
              <w:rPr>
                <w:rFonts w:ascii="仿宋_GB2312" w:hAnsi="仿宋_GB2312" w:cs="仿宋_GB2312" w:eastAsia="仿宋_GB2312"/>
              </w:rPr>
              <w:t>3. 配合采购人完成网络检查、数据统计、上级验收等相关工作，提供所需的运维资料与技术支撑。</w:t>
            </w:r>
          </w:p>
          <w:p>
            <w:pPr>
              <w:pStyle w:val="null3"/>
            </w:pPr>
            <w:r>
              <w:rPr>
                <w:rFonts w:ascii="仿宋_GB2312" w:hAnsi="仿宋_GB2312" w:cs="仿宋_GB2312" w:eastAsia="仿宋_GB2312"/>
              </w:rPr>
              <w:t>（</w:t>
            </w:r>
            <w:r>
              <w:rPr>
                <w:rFonts w:ascii="仿宋_GB2312" w:hAnsi="仿宋_GB2312" w:cs="仿宋_GB2312" w:eastAsia="仿宋_GB2312"/>
              </w:rPr>
              <w:t>4）技术要求</w:t>
            </w:r>
          </w:p>
          <w:p>
            <w:pPr>
              <w:pStyle w:val="null3"/>
            </w:pPr>
            <w:r>
              <w:rPr>
                <w:rFonts w:ascii="仿宋_GB2312" w:hAnsi="仿宋_GB2312" w:cs="仿宋_GB2312" w:eastAsia="仿宋_GB2312"/>
              </w:rPr>
              <w:t>1. 运维技术标准：严格遵循802.11be（WiFi6）通信标准，保障无线网络各项核心技术参数不衰减。</w:t>
            </w:r>
          </w:p>
          <w:p>
            <w:pPr>
              <w:pStyle w:val="null3"/>
            </w:pPr>
            <w:r>
              <w:rPr>
                <w:rFonts w:ascii="仿宋_GB2312" w:hAnsi="仿宋_GB2312" w:cs="仿宋_GB2312" w:eastAsia="仿宋_GB2312"/>
              </w:rPr>
              <w:t>2. 设备兼容要求：维护人员需熟练掌握本项目指定品牌型号设备的运维技术，具备专业的故障诊断、维修调试能力，确保设备兼容匹配，不得因维护操作导致设备不兼容、功能缺失。</w:t>
            </w:r>
          </w:p>
          <w:p>
            <w:pPr>
              <w:pStyle w:val="null3"/>
            </w:pPr>
            <w:r>
              <w:rPr>
                <w:rFonts w:ascii="仿宋_GB2312" w:hAnsi="仿宋_GB2312" w:cs="仿宋_GB2312" w:eastAsia="仿宋_GB2312"/>
              </w:rPr>
              <w:t>3. 安全技术要求：具备完善的网络安全防护能力，能有效防范网络攻击、非法接入、数据泄露等安全风险，运维操作全程留痕，日志留存期限不低于1年。</w:t>
            </w:r>
          </w:p>
          <w:p>
            <w:pPr>
              <w:pStyle w:val="null3"/>
            </w:pPr>
            <w:r>
              <w:rPr>
                <w:rFonts w:ascii="仿宋_GB2312" w:hAnsi="仿宋_GB2312" w:cs="仿宋_GB2312" w:eastAsia="仿宋_GB2312"/>
                <w:sz w:val="21"/>
              </w:rPr>
              <w:t>4. 应急技术要求：制定完备的网络故障应急处置预案，具备快速处置突发网络故障、恢复网络运行的技术能力，保障校园网络运维连续性。</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配置能够满足采购需求的相应人员</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根据采购需求配置相应设施设备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2026年8月1日至2029年7月31日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陕西科技大学（未央校区及咸阳校区）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按照国家有关标准、招投标文件及合同有关内容执行。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预付款，每个年度7月30日之前支付当年度全部服务款项，达到付款条件起10个工作日内，支付合同总金额的100.0%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按照招投标文件及合同有关内容执行。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供应商需要在线提交所有通过电子化交易平台实施的政府采购项目的投标文件，同时，线下提交纸质投标文件正本壹份、副本贰份；若电子投标文件与纸质投标文件不一致的，以电子投标文件为准；投标文件正、副本分别各自装订成册、密封(在书脊处标明项目名称、供应商名称(机打或手写均可)，逐页标注页码)，在封口处加盖供应商公章;纸质投标文件递交截止时间与线上开评标时间一致;纸质投标文件可邮寄递交，应于递交投标文件截止时间前邮寄到代理机构。</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1.提供合格有效的法人或者其他组织的营业执照等证明文件，自然人的身份证明（供应商是法人或其他组织的应提供营业执照等证明文件，供应商是自然人的应提供有效的自然人身份证明）； 2.提供2024年度或2025年度经审计的财务报告（包括审计报告、资产负债表、利润表、现金流量表、所有者权益变动表（没有可不提供）及附注，成立时间至提交投标文件截止时间不足一年的可提供成立后任意时段的资产负债表），或基本存款账户开户银行出具的资信证明及基本存款账户信息（以上两种形式的资料提供任何一种即可）； 3.提供具有履行合同所必需的设备和专业技术能力的承诺； 4.提供投标文件递交截止时间前一年内已缴纳的至少一个月的纳税证明或完税证明（除个人所得税和印花税外任意税种），纳税证明或完税证明上应有代收机构或税务机关的公章或业务专用章，依法免税的供应商应提供相应证明文件； 5.提供投标文件递交截止时间前一年内已缴存的至少一个月的社会保障资金缴存单据或社保机构开具的社会保险参保缴费情况证明，依法不需要缴纳社会保障资金的供应商应提供相应证明文件； 6.参加政府采购活动前三年内，在经营活动中没有重大违法记录的书面声明。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报告（包括审计报告、资产负债表、利润表、现金流量表、所有者权益变动表（没有可不提供）及附注，成立时间至提交投标文件截止时间不足一年的可提供成立后任意时段的资产负债表），或基本存款账户开户银行出具的资信证明及基本存款账户信息（以上两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投标的，须出具法定代表人身份证明；法定代表人委托代理人参加投标的，须出具法定代表人授权书（附法定代表人、代理人身份证复印件）及代理人本单位证明（开标前六个月内任意一个月养老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不得为“信用中国”网站（www.creditchina.gov.cn）（中国执行信息公开网）中被列入失信被执行人、重大税收违法失信主体和中国政府采购网（www.ccgp.gov.cn）政府采购严重违法失信行为记录名单的单位；（投标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供应商须提供《中华人民共和国增值电信业务经营许可证》</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是否符合招标文件要求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投标文件投标人的签字、盖章</w:t>
            </w:r>
          </w:p>
        </w:tc>
        <w:tc>
          <w:tcPr>
            <w:tcW w:type="dxa" w:w="3322"/>
          </w:tcPr>
          <w:p>
            <w:pPr>
              <w:pStyle w:val="null3"/>
            </w:pPr>
            <w:r>
              <w:rPr>
                <w:rFonts w:ascii="仿宋_GB2312" w:hAnsi="仿宋_GB2312" w:cs="仿宋_GB2312" w:eastAsia="仿宋_GB2312"/>
              </w:rPr>
              <w:t>是否符合招标文件要求</w:t>
            </w:r>
          </w:p>
        </w:tc>
        <w:tc>
          <w:tcPr>
            <w:tcW w:type="dxa" w:w="1661"/>
          </w:tcPr>
          <w:p>
            <w:pPr>
              <w:pStyle w:val="null3"/>
            </w:pPr>
            <w:r>
              <w:rPr>
                <w:rFonts w:ascii="仿宋_GB2312" w:hAnsi="仿宋_GB2312" w:cs="仿宋_GB2312" w:eastAsia="仿宋_GB2312"/>
              </w:rPr>
              <w:t>开标一览表 服务内容及服务邀请应答表 中小企业声明函 商务应答表 资格证明文件.docx 分项报价表.docx 投标函 残疾人福利性单位声明函 服务方案 业绩证明材料.docx 标的清单 投标文件封面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报价唯一，未超限价</w:t>
            </w:r>
          </w:p>
        </w:tc>
        <w:tc>
          <w:tcPr>
            <w:tcW w:type="dxa" w:w="3322"/>
          </w:tcPr>
          <w:p>
            <w:pPr>
              <w:pStyle w:val="null3"/>
            </w:pPr>
            <w:r>
              <w:rPr>
                <w:rFonts w:ascii="仿宋_GB2312" w:hAnsi="仿宋_GB2312" w:cs="仿宋_GB2312" w:eastAsia="仿宋_GB2312"/>
              </w:rPr>
              <w:t>是否符合招标文件要求</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是否符合招标文件要求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投标文件对招标文件响应，未附有采购人不能接受条件的，不存在重大偏离。</w:t>
            </w:r>
          </w:p>
        </w:tc>
        <w:tc>
          <w:tcPr>
            <w:tcW w:type="dxa" w:w="3322"/>
          </w:tcPr>
          <w:p>
            <w:pPr>
              <w:pStyle w:val="null3"/>
            </w:pPr>
            <w:r>
              <w:rPr>
                <w:rFonts w:ascii="仿宋_GB2312" w:hAnsi="仿宋_GB2312" w:cs="仿宋_GB2312" w:eastAsia="仿宋_GB2312"/>
              </w:rPr>
              <w:t>是否符合招标文件要求</w:t>
            </w:r>
          </w:p>
        </w:tc>
        <w:tc>
          <w:tcPr>
            <w:tcW w:type="dxa" w:w="1661"/>
          </w:tcPr>
          <w:p>
            <w:pPr>
              <w:pStyle w:val="null3"/>
            </w:pPr>
            <w:r>
              <w:rPr>
                <w:rFonts w:ascii="仿宋_GB2312" w:hAnsi="仿宋_GB2312" w:cs="仿宋_GB2312" w:eastAsia="仿宋_GB2312"/>
              </w:rPr>
              <w:t>开标一览表 服务内容及服务邀请应答表 中小企业声明函 商务应答表 资格证明文件.docx 分项报价表.docx 投标函 残疾人福利性单位声明函 业绩证明材料.docx 服务方案 标的清单 陕西省政府采购供应商拒绝政府采购领域商业贿赂承诺书.docx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1.评审内容：①工作流程；②服务能力；③时间进度情况。 2.评审标准：①完善性：方案必须全面，对评审内容中的各项要求有详细阐述；②可实施性：切合本项目实际情况，提出步骤清晰、合理的方案；③针对性：能够紧扣项目实际情况，内容科学合理。 3.赋分标准：①工作流程：每完全满足一项评审标准得2分，满分6分；有一项缺陷扣1分。②服务能力：每完全满足一项评审标准得2分，满分6分；有一项缺陷扣1分；③时间进度情况：每完全满足一项评审标准得2分，满分6分；有一项缺陷扣1分。（缺陷是指：内容粗略、逻辑混乱、描述过于简单、与项目特点不匹配、凭空编造、逻辑漏洞、出现常识性错误、存在不可能实现的夸大情形） 4.以上内容未提供得0分。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技术管理方案</w:t>
            </w:r>
          </w:p>
        </w:tc>
        <w:tc>
          <w:tcPr>
            <w:tcW w:type="dxa" w:w="2492"/>
          </w:tcPr>
          <w:p>
            <w:pPr>
              <w:pStyle w:val="null3"/>
            </w:pPr>
            <w:r>
              <w:rPr>
                <w:rFonts w:ascii="仿宋_GB2312" w:hAnsi="仿宋_GB2312" w:cs="仿宋_GB2312" w:eastAsia="仿宋_GB2312"/>
              </w:rPr>
              <w:t>1.评审内容：①项目设备配置；②服务流程管理方案；③项目追踪方案。 2.评审标准：①完善性：方案必须全面，对评审内容中的各项要求有详细阐述；②可实施性：切合本项目实际情况，提出步骤清晰、合理的方案；③针对性：能够紧扣项目实际情况，内容科学合理。 3.赋分标准：①项目设备配置：每完全满足一项评审标准得1分，满分3分；有一项缺陷扣0.5分。②服务流程管理方案：每完全满足一项评审标准得1分，满分3分；有一项缺陷扣0.5分；③项目追踪方案：每完全满足一项评审标准得1分，满分3分；有一项缺陷扣0.5分。（缺陷是指：内容粗略、逻辑混乱、描述过于简单、与项目特点不匹配、凭空编造、逻辑漏洞、出现常识性错误、存在不可能实现的夸大情形） 4.以上内容未提供得0分。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与现有网络对接方案、验收方案</w:t>
            </w:r>
          </w:p>
        </w:tc>
        <w:tc>
          <w:tcPr>
            <w:tcW w:type="dxa" w:w="2492"/>
          </w:tcPr>
          <w:p>
            <w:pPr>
              <w:pStyle w:val="null3"/>
            </w:pPr>
            <w:r>
              <w:rPr>
                <w:rFonts w:ascii="仿宋_GB2312" w:hAnsi="仿宋_GB2312" w:cs="仿宋_GB2312" w:eastAsia="仿宋_GB2312"/>
              </w:rPr>
              <w:t>1.评审内容：①与现有网络对接方案；②验收方案。 2.评审标准：①完善性：方案必须全面，对评审内容中的各项要求有详细阐述；②可实施性：切合本项目实际情况，提出步骤清晰、合理的方案；③针对性：能够紧扣项目实际情况，内容科学合理。 3.赋分标准：①与现有网络对接方案：每完全满足一项评审标准得2分，满分6分；有一项缺陷扣1分。②验收方案：每完全满足一项评审标准得2分，满分6分；有一项缺陷扣1分。（缺陷是指：内容粗略、逻辑混乱、描述过于简单、与项目特点不匹配、凭空编造、逻辑漏洞、出现常识性错误、存在不可能实现的夸大情形） 4.以上内容未提供得0分。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维护服务内容</w:t>
            </w:r>
          </w:p>
        </w:tc>
        <w:tc>
          <w:tcPr>
            <w:tcW w:type="dxa" w:w="2492"/>
          </w:tcPr>
          <w:p>
            <w:pPr>
              <w:pStyle w:val="null3"/>
            </w:pPr>
            <w:r>
              <w:rPr>
                <w:rFonts w:ascii="仿宋_GB2312" w:hAnsi="仿宋_GB2312" w:cs="仿宋_GB2312" w:eastAsia="仿宋_GB2312"/>
              </w:rPr>
              <w:t>1.评审内容：①日常巡检维护；②设备与系统维保；③技术支持与服务。 2.评审标准：①完善性：方案必须全面，对评审内容中的各项要求有详细阐述；②可实施性：切合本项目实际情况，提出步骤清晰、合理的方案；③针对性：能够紧扣项目实际情况，内容科学合理。 3.赋分标准：①日常巡检维护：每完全满足一项评审标准得1分，满分3分；有一项缺陷扣0.5分。②设备与系统维保：每完全满足一项评审标准得1分，满分3分；有一项缺陷扣0.5分；③技术支持与服务：每完全满足一项评审标准得1分，满分3分；有一项缺陷扣0.5分。（缺陷是指：内容粗略、逻辑混乱、描述过于简单、与项目特点不匹配、凭空编造、逻辑漏洞、出现常识性错误、存在不可能实现的夸大情形） 4.以上内容未提供得0分。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质量控制和风险管理</w:t>
            </w:r>
          </w:p>
        </w:tc>
        <w:tc>
          <w:tcPr>
            <w:tcW w:type="dxa" w:w="2492"/>
          </w:tcPr>
          <w:p>
            <w:pPr>
              <w:pStyle w:val="null3"/>
            </w:pPr>
            <w:r>
              <w:rPr>
                <w:rFonts w:ascii="仿宋_GB2312" w:hAnsi="仿宋_GB2312" w:cs="仿宋_GB2312" w:eastAsia="仿宋_GB2312"/>
              </w:rPr>
              <w:t>1.评审内容：①质量控制；②风险管理。 2.评审标准：①完善性：方案必须全面，对评审内容中的各项要求有详细阐述；②可实施性：切合本项目实际情况，提出步骤清晰、合理的方案；③针对性：能够紧扣项目实际情况，内容科学合理。 3.赋分标准：①质量控制：每完全满足一项评审标准得1分，满分3分；有一项缺陷扣0.5分。②风险管理：每完全满足一项评审标准得1分，满分3分；有一项缺陷扣0.5分。（缺陷是指：内容粗略、逻辑混乱、描述过于简单、与项目特点不匹配、凭空编造、逻辑漏洞、出现常识性错误、存在不可能实现的夸大情形） 4.以上内容未提供得0分。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应急服务方案</w:t>
            </w:r>
          </w:p>
        </w:tc>
        <w:tc>
          <w:tcPr>
            <w:tcW w:type="dxa" w:w="2492"/>
          </w:tcPr>
          <w:p>
            <w:pPr>
              <w:pStyle w:val="null3"/>
            </w:pPr>
            <w:r>
              <w:rPr>
                <w:rFonts w:ascii="仿宋_GB2312" w:hAnsi="仿宋_GB2312" w:cs="仿宋_GB2312" w:eastAsia="仿宋_GB2312"/>
              </w:rPr>
              <w:t>1.评审内容：①应急预案措施；②解决方案。 2.评审标准：①完善性：方案必须全面，对评审内容中的各项要求有详细阐述；②可实施性：切合本项目实际情况，提出步骤清晰、合理的方案；③针对性：能够紧扣项目实际情况，内容科学合理。 3.赋分标准：①应急预案措施：每完全满足一项评审标准得1分，满分3分；有一项缺陷扣0.5分。②解决方案：每完全满足一项评审标准得1分，满分3分；有一项缺陷扣0.5分。（缺陷是指：内容粗略、逻辑混乱、描述过于简单、与项目特点不匹配、凭空编造、逻辑漏洞、出现常识性错误、存在不可能实现的夸大情形） 4.以上内容未提供得0分。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内部管理措施</w:t>
            </w:r>
          </w:p>
        </w:tc>
        <w:tc>
          <w:tcPr>
            <w:tcW w:type="dxa" w:w="2492"/>
          </w:tcPr>
          <w:p>
            <w:pPr>
              <w:pStyle w:val="null3"/>
            </w:pPr>
            <w:r>
              <w:rPr>
                <w:rFonts w:ascii="仿宋_GB2312" w:hAnsi="仿宋_GB2312" w:cs="仿宋_GB2312" w:eastAsia="仿宋_GB2312"/>
              </w:rPr>
              <w:t>1.评审内容：①内部管理架构；②激励机制。 2.评审标准：①完善性：方案必须全面，对评审内容中的各项要求有详细阐述；②可实施性：切合本项目实际情况，提出步骤清晰、合理的方案；③针对性：能够紧扣项目实际情况，内容科学合理。 3.赋分标准：①内部管理架构：每完全满足一项评审标准得1分，满分3分；有一项缺陷扣0.5分。②激励机制：每完全满足一项评审标准得1分，满分3分；有一项缺陷扣0.5分。（缺陷是指：内容粗略、逻辑混乱、描述过于简单、与项目特点不匹配、凭空编造、逻辑漏洞、出现常识性错误、存在不可能实现的夸大情形） 4.以上内容未提供得0分。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售后保障方案</w:t>
            </w:r>
          </w:p>
        </w:tc>
        <w:tc>
          <w:tcPr>
            <w:tcW w:type="dxa" w:w="2492"/>
          </w:tcPr>
          <w:p>
            <w:pPr>
              <w:pStyle w:val="null3"/>
            </w:pPr>
            <w:r>
              <w:rPr>
                <w:rFonts w:ascii="仿宋_GB2312" w:hAnsi="仿宋_GB2312" w:cs="仿宋_GB2312" w:eastAsia="仿宋_GB2312"/>
              </w:rPr>
              <w:t>1.评审内容：①售后服务团队配置；②故障解决和技术支持；③属地化售后服务能力及承诺。 2.评审标准：①完善性：方案必须全面，对评审内容中的各项要求有详细阐述；②可实施性：切合本项目实际情况，提出步骤清晰、合理的方案；③针对性：能够紧扣项目实际情况，内容科学合理。 3.赋分标准：①售后服务团队配置：每完全满足一项评审标准得1分，满分3分；有一项缺陷扣0.5分。②故障解决和技术支持：每完全满足一项评审标准得1分，满分3分；有一项缺陷扣0.5分；③属地化售后服务能力及承诺：每完全满足一项评审标准得1分，满分3分；有一项缺陷扣0.5分。（缺陷是指：内容粗略、逻辑混乱、描述过于简单、与项目特点不匹配、凭空编造、逻辑漏洞、出现常识性错误、存在不可能实现的夸大情形） 4.以上内容未提供得0分。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拟派项目团队</w:t>
            </w:r>
          </w:p>
        </w:tc>
        <w:tc>
          <w:tcPr>
            <w:tcW w:type="dxa" w:w="2492"/>
          </w:tcPr>
          <w:p>
            <w:pPr>
              <w:pStyle w:val="null3"/>
            </w:pPr>
            <w:r>
              <w:rPr>
                <w:rFonts w:ascii="仿宋_GB2312" w:hAnsi="仿宋_GB2312" w:cs="仿宋_GB2312" w:eastAsia="仿宋_GB2312"/>
              </w:rPr>
              <w:t>1.评审内容：①项目组织机构图；②人员清单及岗位职责；③项目经验(专业性)。 2.评审标准：①完善性：方案必须全面，对评审内容中的各项要求有详细阐述；②可实施性：切合本项目实际情况，提出步骤清晰、合理的方案；③针对性：能够紧扣项目实际情况，内容科学合理。 3.赋分标准：①项目组织机构图：每完全满足一项评审标准得1分，满分3分；有一项缺陷扣0.5分。②人员清单及岗位职责：每完全满足一项评审标准得1分，满分3分；有一项缺陷扣0.5分；③项目经验(专业性)：每完全满足一项评审标准得1分，满分3分；有一项缺陷扣0.5分。（缺陷是指：内容粗略、逻辑混乱、描述过于简单、与项目特点不匹配、凭空编造、逻辑漏洞、出现常识性错误、存在不可能实现的夸大情形） 4.以上内容未提供得0分。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人员证书</w:t>
            </w:r>
          </w:p>
        </w:tc>
        <w:tc>
          <w:tcPr>
            <w:tcW w:type="dxa" w:w="2492"/>
          </w:tcPr>
          <w:p>
            <w:pPr>
              <w:pStyle w:val="null3"/>
            </w:pPr>
            <w:r>
              <w:rPr>
                <w:rFonts w:ascii="仿宋_GB2312" w:hAnsi="仿宋_GB2312" w:cs="仿宋_GB2312" w:eastAsia="仿宋_GB2312"/>
              </w:rPr>
              <w:t>拟派团队人员具有信息通信网络线务员证书，每提供1个有效证书得1分，最高得2分。（注：须提供有效期内的证书复印件并加盖投标人公章，否则不得分）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供应商提供2023年4月1日至今类似项目业绩，1个得2分，最高4分。（以合同或协议签订日期为准，响应文件中附加盖公章的合同或协议复印件，否则不作为评审依据）</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1.经初审合格的投标文件，其投标报价为有效投标报价。对符合政策性扣减的有效投标报价进行政策性扣减，并依据扣减后的价格（评审价格）进行价格评审。 2.满足招标文件要求且报价最低的投标报价为评标基准价，其价格分10分。 3.报价得分=（基准价/投标报价）×10的公式计算得分。 4.投标报价不完整的，不进入基准价的计算，本项得0分。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详见附件：业绩证明材料.docx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详见附件：采购服务合同.docx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