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版本号：HCRZB-202602220260604002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渭南市华州区2026年戏曲进乡村惠民演出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HCRZB-2026022</w:t>
      </w:r>
      <w:r>
        <w:br/>
      </w:r>
      <w:r>
        <w:br/>
      </w:r>
      <w:r>
        <w:br/>
      </w:r>
    </w:p>
    <w:p>
      <w:pPr>
        <w:pStyle w:val="null3"/>
        <w:jc w:val="center"/>
        <w:outlineLvl w:val="2"/>
      </w:pPr>
      <w:r>
        <w:rPr>
          <w:rFonts w:ascii="仿宋_GB2312" w:hAnsi="仿宋_GB2312" w:cs="仿宋_GB2312" w:eastAsia="仿宋_GB2312"/>
          <w:sz w:val="28"/>
          <w:b/>
        </w:rPr>
        <w:t>渭南市华州区文化和旅游局</w:t>
      </w:r>
    </w:p>
    <w:p>
      <w:pPr>
        <w:pStyle w:val="null3"/>
        <w:jc w:val="center"/>
        <w:outlineLvl w:val="2"/>
      </w:pPr>
      <w:r>
        <w:rPr>
          <w:rFonts w:ascii="仿宋_GB2312" w:hAnsi="仿宋_GB2312" w:cs="仿宋_GB2312" w:eastAsia="仿宋_GB2312"/>
          <w:sz w:val="28"/>
          <w:b/>
        </w:rPr>
        <w:t>陕西华程锐建设项目管理有限公司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陕西华程锐建设项目管理有限公司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渭南市华州区文化和旅游局</w:t>
      </w:r>
      <w:r>
        <w:rPr>
          <w:rFonts w:ascii="仿宋_GB2312" w:hAnsi="仿宋_GB2312" w:cs="仿宋_GB2312" w:eastAsia="仿宋_GB2312"/>
        </w:rPr>
        <w:t>委托，拟对</w:t>
      </w:r>
      <w:r>
        <w:rPr>
          <w:rFonts w:ascii="仿宋_GB2312" w:hAnsi="仿宋_GB2312" w:cs="仿宋_GB2312" w:eastAsia="仿宋_GB2312"/>
        </w:rPr>
        <w:t>渭南市华州区2026年戏曲进乡村惠民演出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HCRZB-2026022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渭南市华州区2026年戏曲进乡村惠民演出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充分发挥戏曲在传承中华优秀传统文化、丰富群众精神文化生活、提升基层公共文化服务水平中的积极作用，拟对渭南市华州区全区十个镇（办）提供“戏曲进乡村”演出活动，演出节目为优秀舞台戏曲剧目、传统本戏、折子戏、及现代小戏小品等舞台戏曲。</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采购包1（渭南市华州区2026年戏曲进乡村惠民演出）：属于专门面向中小企业采购。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1、营业执照：法人或者其他组织的营业执照等证明文件或者自然人身份证明</w:t>
      </w:r>
    </w:p>
    <w:p>
      <w:pPr>
        <w:pStyle w:val="null3"/>
      </w:pPr>
      <w:r>
        <w:rPr>
          <w:rFonts w:ascii="仿宋_GB2312" w:hAnsi="仿宋_GB2312" w:cs="仿宋_GB2312" w:eastAsia="仿宋_GB2312"/>
        </w:rPr>
        <w:t>2、纳税证明：自2025年12月1日以来已缴存的至少一个月的纳税证明或完税证明，纳税证明或完税证明上应有代收机构或税务机关的公章或业务专 用章。依法免税的供应商应提供相关文件证明；</w:t>
      </w:r>
    </w:p>
    <w:p>
      <w:pPr>
        <w:pStyle w:val="null3"/>
      </w:pPr>
      <w:r>
        <w:rPr>
          <w:rFonts w:ascii="仿宋_GB2312" w:hAnsi="仿宋_GB2312" w:cs="仿宋_GB2312" w:eastAsia="仿宋_GB2312"/>
        </w:rPr>
        <w:t>3、社保证明：自2025年12月1日以来已缴存的至少一个月的社会保障资金缴存单据或社保机构开具的社会保险参保缴费情况证明，单据或 证明上应有社保机构或代收机构的公章或业务专用章。依法不需要缴纳社会保障 资金的供应商应提供相关证明文件</w:t>
      </w:r>
    </w:p>
    <w:p>
      <w:pPr>
        <w:pStyle w:val="null3"/>
      </w:pPr>
      <w:r>
        <w:rPr>
          <w:rFonts w:ascii="仿宋_GB2312" w:hAnsi="仿宋_GB2312" w:cs="仿宋_GB2312" w:eastAsia="仿宋_GB2312"/>
        </w:rPr>
        <w:t>4、三年无违法声明：参加政府采购活动前三年内在经营活动中没有重大违法记录的书面声明；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5、履约能力声明：提供具有履行合同所必需的设备和专业技术能力的承诺函</w:t>
      </w:r>
    </w:p>
    <w:p>
      <w:pPr>
        <w:pStyle w:val="null3"/>
      </w:pPr>
      <w:r>
        <w:rPr>
          <w:rFonts w:ascii="仿宋_GB2312" w:hAnsi="仿宋_GB2312" w:cs="仿宋_GB2312" w:eastAsia="仿宋_GB2312"/>
        </w:rPr>
        <w:t>6、身份证明：法定代表人参加磋商的，须提供法定代表人身份证明书；法定代表人授权他人参加磋商的，须提供法定代表人委托授权书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7、资质证书：须具备文化主管部门颁发的有效期内的《营业性演出许可证》；</w:t>
      </w:r>
    </w:p>
    <w:p>
      <w:pPr>
        <w:pStyle w:val="null3"/>
      </w:pPr>
      <w:r>
        <w:rPr>
          <w:rFonts w:ascii="仿宋_GB2312" w:hAnsi="仿宋_GB2312" w:cs="仿宋_GB2312" w:eastAsia="仿宋_GB2312"/>
        </w:rPr>
        <w:t>8、信誉要求：未被列入“信用中国”网站（www.creditchina.gov.cn）失信被执行人和重大税收违法案件当事人名单，不得为“中国政府采购网”(www.ccgp.gov.cn) 政府采购严重违法失信行为记录名单中禁止参加政府采购活动的供应商；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陕西省渭南市华州区政务中心10楼1007室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17535203419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陕西华程锐建设项目管理有限公司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陕西省西安市高新区丈八街办锦业一路10号中投国际A座1903室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叶佳铭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029-81116828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渭南市华州区文化和旅游局</w:t>
      </w:r>
      <w:r>
        <w:rPr>
          <w:rFonts w:ascii="仿宋_GB2312" w:hAnsi="仿宋_GB2312" w:cs="仿宋_GB2312" w:eastAsia="仿宋_GB2312"/>
        </w:rPr>
        <w:t>和</w:t>
      </w:r>
      <w:r>
        <w:rPr>
          <w:rFonts w:ascii="仿宋_GB2312" w:hAnsi="仿宋_GB2312" w:cs="仿宋_GB2312" w:eastAsia="仿宋_GB2312"/>
        </w:rPr>
        <w:t>陕西华程锐建设项目管理有限公司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陕西华程锐建设项目管理有限公司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陕西华程锐建设项目管理有限公司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所有场次均按合同要求完成，资料齐全、真实有效，群众满意度平均不低于90%，视为验收合格。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陕西华程锐建设项目管理有限公司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联系人：叶佳铭</w:t>
      </w:r>
    </w:p>
    <w:p>
      <w:pPr>
        <w:pStyle w:val="null3"/>
      </w:pPr>
      <w:r>
        <w:rPr>
          <w:rFonts w:ascii="仿宋_GB2312" w:hAnsi="仿宋_GB2312" w:cs="仿宋_GB2312" w:eastAsia="仿宋_GB2312"/>
        </w:rPr>
        <w:t>联系电话：029-81116828</w:t>
      </w:r>
    </w:p>
    <w:p>
      <w:pPr>
        <w:pStyle w:val="null3"/>
      </w:pPr>
      <w:r>
        <w:rPr>
          <w:rFonts w:ascii="仿宋_GB2312" w:hAnsi="仿宋_GB2312" w:cs="仿宋_GB2312" w:eastAsia="仿宋_GB2312"/>
        </w:rPr>
        <w:t>地址：西安市高新区锦业一路中投国际A座1903室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充分发挥戏曲在传承中华优秀传统文化、丰富群众精神文化生活、提升基层公共文化服务水平中的积极作用，拟对渭南市华州区全区十个镇（办）提供“戏曲进乡村”演出活动，演出节目为优秀舞台戏曲剧目、传统本戏、折子戏、现代小戏小品等舞台戏曲。</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戏曲进乡村惠民演出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标的名称：戏曲进乡村惠民演出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both"/>
            </w:pPr>
            <w:r>
              <w:rPr>
                <w:rFonts w:ascii="仿宋_GB2312" w:hAnsi="仿宋_GB2312" w:cs="仿宋_GB2312" w:eastAsia="仿宋_GB2312"/>
                <w:sz w:val="28"/>
                <w:b/>
              </w:rPr>
              <w:t>一、项目概况</w:t>
            </w:r>
          </w:p>
          <w:p>
            <w:pPr>
              <w:pStyle w:val="null3"/>
            </w:pPr>
            <w:r>
              <w:rPr>
                <w:rFonts w:ascii="仿宋_GB2312" w:hAnsi="仿宋_GB2312" w:cs="仿宋_GB2312" w:eastAsia="仿宋_GB2312"/>
              </w:rPr>
              <w:t>为充分发挥戏曲在传承中华优秀传统文化、丰富群众精神文化生活、提升基</w:t>
            </w:r>
            <w:r>
              <w:rPr>
                <w:rFonts w:ascii="仿宋_GB2312" w:hAnsi="仿宋_GB2312" w:cs="仿宋_GB2312" w:eastAsia="仿宋_GB2312"/>
              </w:rPr>
              <w:t>层公共文化服务水平中的积极作用，拟对渭南市华州区全区十个镇（办）提供</w:t>
            </w:r>
            <w:r>
              <w:rPr>
                <w:rFonts w:ascii="仿宋_GB2312" w:hAnsi="仿宋_GB2312" w:cs="仿宋_GB2312" w:eastAsia="仿宋_GB2312"/>
              </w:rPr>
              <w:t>“戏 曲进乡村”演出活动，演出节目为优秀舞台戏曲剧目、传统本戏、折子戏、及现代小戏小品等舞台戏曲</w:t>
            </w:r>
            <w:r>
              <w:rPr>
                <w:rFonts w:ascii="仿宋_GB2312" w:hAnsi="仿宋_GB2312" w:cs="仿宋_GB2312" w:eastAsia="仿宋_GB2312"/>
              </w:rPr>
              <w:t>。</w:t>
            </w:r>
          </w:p>
          <w:p>
            <w:pPr>
              <w:pStyle w:val="null3"/>
              <w:spacing w:before="120"/>
              <w:jc w:val="both"/>
            </w:pPr>
            <w:r>
              <w:rPr>
                <w:rFonts w:ascii="仿宋_GB2312" w:hAnsi="仿宋_GB2312" w:cs="仿宋_GB2312" w:eastAsia="仿宋_GB2312"/>
                <w:sz w:val="28"/>
                <w:b/>
              </w:rPr>
              <w:t>二、采购内容</w:t>
            </w:r>
          </w:p>
          <w:p>
            <w:pPr>
              <w:pStyle w:val="null3"/>
              <w:spacing w:before="120"/>
              <w:ind w:firstLine="482"/>
              <w:jc w:val="both"/>
            </w:pPr>
            <w:r>
              <w:rPr>
                <w:rFonts w:ascii="仿宋_GB2312" w:hAnsi="仿宋_GB2312" w:cs="仿宋_GB2312" w:eastAsia="仿宋_GB2312"/>
                <w:sz w:val="24"/>
                <w:b/>
              </w:rPr>
              <w:t>（一）服务内容</w:t>
            </w:r>
          </w:p>
          <w:p>
            <w:pPr>
              <w:pStyle w:val="null3"/>
              <w:spacing w:before="12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）演出戏曲剧本要求坚持保本微利的原则，根据演出阵容、演出单位舞台设备水平、剧目获奖情况、社会影响力等因素，最终以演出单位整体实力和剧目的社会效果确定演出团体的类别。 演出戏曲包括：优秀舞台戏曲剧目、传统本戏、折子戏、及现代小戏小品等舞台戏曲。优秀剧目指：市各类文艺院团创作排练的反映时代精神、弘扬社会主义核心价值观、以爱国主义、红色革命文化、乡村振兴等为主题并获得国家、省、市奖项的剧目。（</w:t>
            </w:r>
            <w:r>
              <w:rPr>
                <w:rFonts w:ascii="仿宋_GB2312" w:hAnsi="仿宋_GB2312" w:cs="仿宋_GB2312" w:eastAsia="仿宋_GB2312"/>
              </w:rPr>
              <w:t>2</w:t>
            </w:r>
            <w:r>
              <w:rPr>
                <w:rFonts w:ascii="仿宋_GB2312" w:hAnsi="仿宋_GB2312" w:cs="仿宋_GB2312" w:eastAsia="仿宋_GB2312"/>
              </w:rPr>
              <w:t>）演出场次要求本项目共计演出</w:t>
            </w:r>
            <w:r>
              <w:rPr>
                <w:rFonts w:ascii="仿宋_GB2312" w:hAnsi="仿宋_GB2312" w:cs="仿宋_GB2312" w:eastAsia="仿宋_GB2312"/>
              </w:rPr>
              <w:t>60</w:t>
            </w:r>
            <w:r>
              <w:rPr>
                <w:rFonts w:ascii="仿宋_GB2312" w:hAnsi="仿宋_GB2312" w:cs="仿宋_GB2312" w:eastAsia="仿宋_GB2312"/>
              </w:rPr>
              <w:t>场次，全区十个镇（办），每镇戏曲进乡村约</w:t>
            </w:r>
            <w:r>
              <w:rPr>
                <w:rFonts w:ascii="仿宋_GB2312" w:hAnsi="仿宋_GB2312" w:cs="仿宋_GB2312" w:eastAsia="仿宋_GB2312"/>
              </w:rPr>
              <w:t>6</w:t>
            </w:r>
            <w:r>
              <w:rPr>
                <w:rFonts w:ascii="仿宋_GB2312" w:hAnsi="仿宋_GB2312" w:cs="仿宋_GB2312" w:eastAsia="仿宋_GB2312"/>
              </w:rPr>
              <w:t>场。</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演出时间及形式要求根据全市基层公益性演出活动的整体安排和农民的观赏习惯，演出时间错开农忙时节，一般安排在重要传统节日、节假日和重大节庆活动期间，组织戏曲艺术表演团体进乡村演出。村落密集的县</w:t>
            </w:r>
            <w:r>
              <w:rPr>
                <w:rFonts w:ascii="仿宋_GB2312" w:hAnsi="仿宋_GB2312" w:cs="仿宋_GB2312" w:eastAsia="仿宋_GB2312"/>
              </w:rPr>
              <w:t>(</w:t>
            </w:r>
            <w:r>
              <w:rPr>
                <w:rFonts w:ascii="仿宋_GB2312" w:hAnsi="仿宋_GB2312" w:cs="仿宋_GB2312" w:eastAsia="仿宋_GB2312"/>
              </w:rPr>
              <w:t>市、区</w:t>
            </w:r>
            <w:r>
              <w:rPr>
                <w:rFonts w:ascii="仿宋_GB2312" w:hAnsi="仿宋_GB2312" w:cs="仿宋_GB2312" w:eastAsia="仿宋_GB2312"/>
              </w:rPr>
              <w:t>)</w:t>
            </w:r>
            <w:r>
              <w:rPr>
                <w:rFonts w:ascii="仿宋_GB2312" w:hAnsi="仿宋_GB2312" w:cs="仿宋_GB2312" w:eastAsia="仿宋_GB2312"/>
              </w:rPr>
              <w:t>鼓励联村演出；偏远分散的小型 村落，可采取小分队的形式灵活安排。要优先向贫困村开展送戏进乡村服务，确保群众免费观赏戏曲演出。演出过程中要利用电子屏或悬挂横幅的方式进行宣传。（</w:t>
            </w:r>
            <w:r>
              <w:rPr>
                <w:rFonts w:ascii="仿宋_GB2312" w:hAnsi="仿宋_GB2312" w:cs="仿宋_GB2312" w:eastAsia="仿宋_GB2312"/>
              </w:rPr>
              <w:t>4</w:t>
            </w:r>
            <w:r>
              <w:rPr>
                <w:rFonts w:ascii="仿宋_GB2312" w:hAnsi="仿宋_GB2312" w:cs="仿宋_GB2312" w:eastAsia="仿宋_GB2312"/>
              </w:rPr>
              <w:t>）演出地点：渭南市华州区全区十个镇（办）</w:t>
            </w:r>
            <w:r>
              <w:rPr>
                <w:rFonts w:ascii="仿宋_GB2312" w:hAnsi="仿宋_GB2312" w:cs="仿宋_GB2312" w:eastAsia="仿宋_GB2312"/>
                <w:sz w:val="24"/>
                <w:b/>
              </w:rPr>
              <w:t>。</w:t>
            </w:r>
          </w:p>
          <w:p>
            <w:pPr>
              <w:pStyle w:val="null3"/>
              <w:spacing w:before="120"/>
              <w:jc w:val="both"/>
            </w:pPr>
            <w:r>
              <w:rPr>
                <w:rFonts w:ascii="仿宋_GB2312" w:hAnsi="仿宋_GB2312" w:cs="仿宋_GB2312" w:eastAsia="仿宋_GB2312"/>
                <w:sz w:val="24"/>
                <w:b/>
              </w:rPr>
              <w:t>（二）服务要求</w:t>
            </w:r>
          </w:p>
          <w:p>
            <w:pPr>
              <w:pStyle w:val="null3"/>
              <w:spacing w:before="120"/>
              <w:jc w:val="both"/>
            </w:pP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）合同履行期限：</w:t>
            </w:r>
            <w:r>
              <w:rPr>
                <w:rFonts w:ascii="仿宋_GB2312" w:hAnsi="仿宋_GB2312" w:cs="仿宋_GB2312" w:eastAsia="仿宋_GB2312"/>
              </w:rPr>
              <w:t>自签订合同之日起至</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11</w:t>
            </w:r>
            <w:r>
              <w:rPr>
                <w:rFonts w:ascii="仿宋_GB2312" w:hAnsi="仿宋_GB2312" w:cs="仿宋_GB2312" w:eastAsia="仿宋_GB2312"/>
              </w:rPr>
              <w:t>月</w:t>
            </w:r>
            <w:r>
              <w:rPr>
                <w:rFonts w:ascii="仿宋_GB2312" w:hAnsi="仿宋_GB2312" w:cs="仿宋_GB2312" w:eastAsia="仿宋_GB2312"/>
              </w:rPr>
              <w:t>30</w:t>
            </w:r>
            <w:r>
              <w:rPr>
                <w:rFonts w:ascii="仿宋_GB2312" w:hAnsi="仿宋_GB2312" w:cs="仿宋_GB2312" w:eastAsia="仿宋_GB2312"/>
              </w:rPr>
              <w:t>日前完成。</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）服务地点：渭南市华州区全区十个镇（办）。（</w:t>
            </w:r>
            <w:r>
              <w:rPr>
                <w:rFonts w:ascii="仿宋_GB2312" w:hAnsi="仿宋_GB2312" w:cs="仿宋_GB2312" w:eastAsia="仿宋_GB2312"/>
              </w:rPr>
              <w:t>3</w:t>
            </w:r>
            <w:r>
              <w:rPr>
                <w:rFonts w:ascii="仿宋_GB2312" w:hAnsi="仿宋_GB2312" w:cs="仿宋_GB2312" w:eastAsia="仿宋_GB2312"/>
              </w:rPr>
              <w:t>）服务质量：符合国家、省市相关规定及采购人要求。（</w:t>
            </w:r>
            <w:r>
              <w:rPr>
                <w:rFonts w:ascii="仿宋_GB2312" w:hAnsi="仿宋_GB2312" w:cs="仿宋_GB2312" w:eastAsia="仿宋_GB2312"/>
              </w:rPr>
              <w:t>4</w:t>
            </w:r>
            <w:r>
              <w:rPr>
                <w:rFonts w:ascii="仿宋_GB2312" w:hAnsi="仿宋_GB2312" w:cs="仿宋_GB2312" w:eastAsia="仿宋_GB2312"/>
              </w:rPr>
              <w:t>）成果交付 ①成交供应商按照“一场一档”要求，逐场建立《送戏下乡工作日志》（日 志须用文字、照片等详实记录每场演出的时间、地点、节目、观众等基本情况）， 每月</w:t>
            </w:r>
            <w:r>
              <w:rPr>
                <w:rFonts w:ascii="仿宋_GB2312" w:hAnsi="仿宋_GB2312" w:cs="仿宋_GB2312" w:eastAsia="仿宋_GB2312"/>
              </w:rPr>
              <w:t>30</w:t>
            </w:r>
            <w:r>
              <w:rPr>
                <w:rFonts w:ascii="仿宋_GB2312" w:hAnsi="仿宋_GB2312" w:cs="仿宋_GB2312" w:eastAsia="仿宋_GB2312"/>
              </w:rPr>
              <w:t>日前提供当月演出工作日志给采购人进行审核。 ②成交供应商每场演出结束后，应提供《演出场次认证单》，每月</w:t>
            </w:r>
            <w:r>
              <w:rPr>
                <w:rFonts w:ascii="仿宋_GB2312" w:hAnsi="仿宋_GB2312" w:cs="仿宋_GB2312" w:eastAsia="仿宋_GB2312"/>
              </w:rPr>
              <w:t xml:space="preserve">30 </w:t>
            </w:r>
            <w:r>
              <w:rPr>
                <w:rFonts w:ascii="仿宋_GB2312" w:hAnsi="仿宋_GB2312" w:cs="仿宋_GB2312" w:eastAsia="仿宋_GB2312"/>
              </w:rPr>
              <w:t>日前提供当月《演出场次认证单》给采购人进行审核。 ③成交供应商每场演出后填写《演出满意度调查表》，每月</w:t>
            </w:r>
            <w:r>
              <w:rPr>
                <w:rFonts w:ascii="仿宋_GB2312" w:hAnsi="仿宋_GB2312" w:cs="仿宋_GB2312" w:eastAsia="仿宋_GB2312"/>
              </w:rPr>
              <w:t xml:space="preserve">30 </w:t>
            </w:r>
            <w:r>
              <w:rPr>
                <w:rFonts w:ascii="仿宋_GB2312" w:hAnsi="仿宋_GB2312" w:cs="仿宋_GB2312" w:eastAsia="仿宋_GB2312"/>
              </w:rPr>
              <w:t>日前提供当月《演出满意度调查表》给采购人进行审核。 ④成交供应商每场演出依托“秦岭视云”</w:t>
            </w:r>
            <w:r>
              <w:rPr>
                <w:rFonts w:ascii="仿宋_GB2312" w:hAnsi="仿宋_GB2312" w:cs="仿宋_GB2312" w:eastAsia="仿宋_GB2312"/>
              </w:rPr>
              <w:t>APP</w:t>
            </w:r>
            <w:r>
              <w:rPr>
                <w:rFonts w:ascii="仿宋_GB2312" w:hAnsi="仿宋_GB2312" w:cs="仿宋_GB2312" w:eastAsia="仿宋_GB2312"/>
              </w:rPr>
              <w:t>，做好戏曲进乡村演出直录播工作。</w:t>
            </w:r>
          </w:p>
          <w:p>
            <w:pPr>
              <w:pStyle w:val="null3"/>
              <w:spacing w:before="120"/>
              <w:jc w:val="both"/>
            </w:pPr>
            <w:r>
              <w:rPr>
                <w:rFonts w:ascii="仿宋_GB2312" w:hAnsi="仿宋_GB2312" w:cs="仿宋_GB2312" w:eastAsia="仿宋_GB2312"/>
                <w:sz w:val="24"/>
                <w:b/>
              </w:rPr>
              <w:t>三、结算</w:t>
            </w:r>
          </w:p>
          <w:p>
            <w:pPr>
              <w:pStyle w:val="null3"/>
              <w:jc w:val="both"/>
            </w:pPr>
            <w:r>
              <w:rPr>
                <w:rFonts w:ascii="仿宋_GB2312" w:hAnsi="仿宋_GB2312" w:cs="仿宋_GB2312" w:eastAsia="仿宋_GB2312"/>
                <w:sz w:val="21"/>
              </w:rPr>
              <w:t>签订合同后支付合同总价款的</w:t>
            </w:r>
            <w:r>
              <w:rPr>
                <w:rFonts w:ascii="仿宋_GB2312" w:hAnsi="仿宋_GB2312" w:cs="仿宋_GB2312" w:eastAsia="仿宋_GB2312"/>
                <w:sz w:val="21"/>
              </w:rPr>
              <w:t>50%</w:t>
            </w:r>
            <w:r>
              <w:rPr>
                <w:rFonts w:ascii="仿宋_GB2312" w:hAnsi="仿宋_GB2312" w:cs="仿宋_GB2312" w:eastAsia="仿宋_GB2312"/>
                <w:sz w:val="21"/>
              </w:rPr>
              <w:t>，成交供应商完成</w:t>
            </w:r>
            <w:r>
              <w:rPr>
                <w:rFonts w:ascii="仿宋_GB2312" w:hAnsi="仿宋_GB2312" w:cs="仿宋_GB2312" w:eastAsia="仿宋_GB2312"/>
                <w:sz w:val="21"/>
              </w:rPr>
              <w:t>60</w:t>
            </w:r>
            <w:r>
              <w:rPr>
                <w:rFonts w:ascii="仿宋_GB2312" w:hAnsi="仿宋_GB2312" w:cs="仿宋_GB2312" w:eastAsia="仿宋_GB2312"/>
                <w:sz w:val="21"/>
              </w:rPr>
              <w:t>场次演出活动后，支付合同总价款的剩余款项。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渭南市华州区全区十个镇（办），采购人指定地点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按照《陕西省“戏曲进乡村”惠民演出回执单》由演出所在地负责人签字确认，采购单位根据档案资料（回执单、满意度调查表、照片、直播记录等）进行审核验收。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进度款，60场演出任务完成后，达到付款条件起7个工作日内，支付合同总金额的50.0%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按《中华人民共和国民法典》及政府采购合同通用条款执行，协商不成的向采购单位所在地人民法院提起诉讼。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供应商应提交的相关的资格证明材料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商务应答表 服务方案 服务内容及服务要求应答表 响应函 供应商应提交的相关的资格证明材料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自2025年12月1日以来已缴存的至少一个月的纳税证明或完税证明，纳税证明或完税证明上应有代收机构或税务机关的公章或业务专 用章。依法免税的供应商应提供相关文件证明；</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自2025年12月1日以来已缴存的至少一个月的社会保障资金缴存单据或社保机构开具的社会保险参保缴费情况证明，单据或 证明上应有社保机构或代收机构的公章或业务专用章。依法不需要缴纳社会保障 资金的供应商应提供相关证明文件</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须具备文化主管部门颁发的有效期内的《营业性演出许可证》；</w:t>
            </w:r>
          </w:p>
        </w:tc>
        <w:tc>
          <w:tcPr>
            <w:tcW w:type="dxa" w:w="1661"/>
          </w:tcPr>
          <w:p>
            <w:pPr>
              <w:pStyle w:val="null3"/>
            </w:pPr>
            <w:r>
              <w:rPr>
                <w:rFonts w:ascii="仿宋_GB2312" w:hAnsi="仿宋_GB2312" w:cs="仿宋_GB2312" w:eastAsia="仿宋_GB2312"/>
              </w:rPr>
              <w:t>供应商应提交的相关的资格证明材料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 政府采购严重违法失信行为记录名单中禁止参加政府采购活动的供应商；</w:t>
            </w:r>
          </w:p>
        </w:tc>
        <w:tc>
          <w:tcPr>
            <w:tcW w:type="dxa" w:w="1661"/>
          </w:tcPr>
          <w:p>
            <w:pPr>
              <w:pStyle w:val="null3"/>
            </w:pPr>
            <w:r>
              <w:rPr>
                <w:rFonts w:ascii="仿宋_GB2312" w:hAnsi="仿宋_GB2312" w:cs="仿宋_GB2312" w:eastAsia="仿宋_GB2312"/>
              </w:rPr>
              <w:t>供应商应提交的相关的资格证明材料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供应商应提交的相关的资格证明材料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供应商应提交的相关的资格证明材料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 。</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供应商应提交的相关的资格证明材料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供应商应提交的相关的资格证明材料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 xml:space="preserve"> 应满足磋商文件中要求 。</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 响应函 供应商应提交的相关的资格证明材料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商务应答表 服务方案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一、评审内容针对本项目提供详细的项目服务方案包括但不限于： ①针对本项目采购需求提供具体可行的服务实施方案；②演出计划及安排；③演出内容编排；④舞台设备及服装道具配备；⑤演出宣传方案；⑥应急预案。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上述6项评审内容全部满足评审标准得42分，每有一个评审内容缺项扣7分，每有一项评审内容存在缺陷，扣2分，扣完为止。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一、评审内容针对本项目提供详细完善的服务计划及保障措施，包括但不限于： ①计划进度安排及保障措施； ②演出质量控制措施； ③针对本项目的质量保障措施方案。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服务人员安排</w:t>
            </w:r>
          </w:p>
        </w:tc>
        <w:tc>
          <w:tcPr>
            <w:tcW w:type="dxa" w:w="2492"/>
          </w:tcPr>
          <w:p>
            <w:pPr>
              <w:pStyle w:val="null3"/>
            </w:pPr>
            <w:r>
              <w:rPr>
                <w:rFonts w:ascii="仿宋_GB2312" w:hAnsi="仿宋_GB2312" w:cs="仿宋_GB2312" w:eastAsia="仿宋_GB2312"/>
              </w:rPr>
              <w:t>一、评审内容针对本项目提供详细的服务人员安排，方案包括但不限于： ①针对被项目有专业的配送团队，团队人员安排合理； ②有完善的人员管理方案，配送管理制度等内容。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10分，每有一个评审内容缺项扣5分，每有一项评审内容存在缺陷，扣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一、评审内容针对本项目提供详尽的服务承诺，包含但不限于： ①演出特点提供切实可行的服务承诺，包括但不限于质量承诺、服务态度承诺、时间与安全承诺等； ②针对本项目及采购人实际需求提供详细具体可行的服务措施及承诺； ③合理化建议。 二、评审标准 1、完善性：方案必须全面，对评审内容中的各项要求有详细阐述； 2、可实施性：切合本项目实际情况，提出步骤清晰、合理的方案； 3、针对性：方案能够紧扣项目实际情况，内容科学合理。上述1-2项评审内容全部满足评审标准得10分，每有一个评审内容缺项扣5分，每有一项评审内容存在缺陷，扣1分，上述第3项评审内容缺项扣3分，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提供2023年1月1日以来（合同签订日为准）类似项目的业绩证明文件原件扫描件，每出具一份业绩证明文件得2.5分，满分10分。 注：业绩证明（以合同（协 议）或中标（成交）通知书为准。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有效服务商磋商后最低报价为基准价得10分，其他各服务商的报价得分按下列公式计算：（基准价/投标报价）×10％×100分。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详见附件：供应商应提交的相关的资格证明材料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详见附件：戏曲合同.docx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