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30DFC">
      <w:pPr>
        <w:jc w:val="center"/>
      </w:pPr>
      <w:r>
        <w:rPr>
          <w:rFonts w:hint="eastAsia"/>
        </w:rPr>
        <w:t>　　合同编号：</w:t>
      </w:r>
    </w:p>
    <w:p w14:paraId="3132523E">
      <w:pPr>
        <w:snapToGrid w:val="0"/>
        <w:spacing w:line="360" w:lineRule="auto"/>
        <w:jc w:val="center"/>
        <w:rPr>
          <w:rStyle w:val="8"/>
          <w:rFonts w:hint="default"/>
          <w:sz w:val="40"/>
          <w:szCs w:val="40"/>
        </w:rPr>
      </w:pPr>
      <w:bookmarkStart w:id="0" w:name="_Toc29289"/>
      <w:bookmarkStart w:id="1" w:name="_Toc10379"/>
      <w:bookmarkStart w:id="2" w:name="_Toc28907"/>
    </w:p>
    <w:bookmarkEnd w:id="0"/>
    <w:bookmarkEnd w:id="1"/>
    <w:bookmarkEnd w:id="2"/>
    <w:p w14:paraId="3A213EE7">
      <w:pPr>
        <w:snapToGrid w:val="0"/>
        <w:spacing w:line="360" w:lineRule="auto"/>
        <w:jc w:val="center"/>
        <w:rPr>
          <w:rStyle w:val="8"/>
          <w:rFonts w:hint="default"/>
          <w:color w:val="auto"/>
          <w:sz w:val="28"/>
          <w:szCs w:val="28"/>
        </w:rPr>
      </w:pPr>
      <w:r>
        <w:rPr>
          <w:rStyle w:val="8"/>
          <w:rFonts w:hint="default"/>
          <w:color w:val="auto"/>
          <w:sz w:val="28"/>
          <w:szCs w:val="28"/>
        </w:rPr>
        <w:t>（</w:t>
      </w:r>
      <w:r>
        <w:rPr>
          <w:rStyle w:val="8"/>
          <w:rFonts w:hint="eastAsia"/>
          <w:color w:val="auto"/>
          <w:sz w:val="28"/>
          <w:szCs w:val="28"/>
          <w:lang w:val="en-US" w:eastAsia="zh-CN"/>
        </w:rPr>
        <w:t>合同文本仅供参考</w:t>
      </w:r>
      <w:r>
        <w:rPr>
          <w:rStyle w:val="8"/>
          <w:rFonts w:hint="default"/>
          <w:color w:val="auto"/>
          <w:sz w:val="28"/>
          <w:szCs w:val="28"/>
        </w:rPr>
        <w:t>，最终以实际签订为准</w:t>
      </w:r>
      <w:r>
        <w:rPr>
          <w:rStyle w:val="8"/>
          <w:rFonts w:hint="eastAsia"/>
          <w:color w:val="auto"/>
          <w:sz w:val="28"/>
          <w:szCs w:val="28"/>
          <w:lang w:eastAsia="zh-CN"/>
        </w:rPr>
        <w:t>，</w:t>
      </w:r>
      <w:r>
        <w:rPr>
          <w:rStyle w:val="8"/>
          <w:rFonts w:hint="eastAsia"/>
          <w:color w:val="auto"/>
          <w:sz w:val="28"/>
          <w:szCs w:val="28"/>
          <w:lang w:val="en-US" w:eastAsia="zh-CN"/>
        </w:rPr>
        <w:t>但不得改变招标实质内容</w:t>
      </w:r>
      <w:r>
        <w:rPr>
          <w:rStyle w:val="8"/>
          <w:rFonts w:hint="default"/>
          <w:color w:val="auto"/>
          <w:sz w:val="28"/>
          <w:szCs w:val="28"/>
        </w:rPr>
        <w:t>）</w:t>
      </w:r>
    </w:p>
    <w:p w14:paraId="0F8F3ED2">
      <w:pPr>
        <w:snapToGrid w:val="0"/>
        <w:spacing w:line="360" w:lineRule="auto"/>
        <w:jc w:val="center"/>
        <w:rPr>
          <w:rFonts w:ascii="宋体" w:hAnsi="宋体"/>
          <w:b/>
          <w:bCs/>
          <w:sz w:val="44"/>
          <w:szCs w:val="44"/>
        </w:rPr>
      </w:pPr>
    </w:p>
    <w:p w14:paraId="12550046">
      <w:pPr>
        <w:pStyle w:val="11"/>
        <w:jc w:val="center"/>
        <w:outlineLvl w:val="2"/>
      </w:pPr>
      <w:bookmarkStart w:id="3" w:name="OLE_LINK5"/>
      <w:bookmarkStart w:id="4" w:name="OLE_LINK6"/>
      <w:r>
        <w:rPr>
          <w:rFonts w:hint="eastAsia"/>
          <w:b/>
          <w:sz w:val="28"/>
        </w:rPr>
        <w:t>渭南市华州区2026年戏曲进乡村惠民演出</w:t>
      </w:r>
      <w:bookmarkEnd w:id="3"/>
      <w:r>
        <w:rPr>
          <w:rFonts w:hint="eastAsia"/>
          <w:b/>
          <w:sz w:val="28"/>
          <w:lang w:val="en-US" w:eastAsia="zh-CN"/>
        </w:rPr>
        <w:t>项目</w:t>
      </w:r>
      <w:bookmarkEnd w:id="4"/>
    </w:p>
    <w:p w14:paraId="60CA9EA4">
      <w:pPr>
        <w:snapToGrid w:val="0"/>
        <w:spacing w:line="360" w:lineRule="auto"/>
        <w:rPr>
          <w:rFonts w:ascii="宋体" w:hAnsi="宋体"/>
          <w:b/>
          <w:bCs/>
          <w:spacing w:val="26"/>
          <w:sz w:val="36"/>
          <w:szCs w:val="36"/>
        </w:rPr>
      </w:pPr>
    </w:p>
    <w:p w14:paraId="3BB349BD">
      <w:pPr>
        <w:snapToGrid w:val="0"/>
        <w:spacing w:line="360" w:lineRule="auto"/>
        <w:rPr>
          <w:rFonts w:ascii="宋体" w:hAnsi="宋体"/>
          <w:b/>
          <w:sz w:val="32"/>
          <w:szCs w:val="32"/>
        </w:rPr>
      </w:pPr>
    </w:p>
    <w:p w14:paraId="059A3D4D">
      <w:pPr>
        <w:snapToGrid w:val="0"/>
        <w:spacing w:line="360" w:lineRule="auto"/>
        <w:rPr>
          <w:rFonts w:ascii="宋体" w:hAnsi="宋体"/>
          <w:b/>
          <w:sz w:val="32"/>
          <w:szCs w:val="32"/>
        </w:rPr>
      </w:pPr>
    </w:p>
    <w:p w14:paraId="6CB1364D">
      <w:pPr>
        <w:snapToGrid w:val="0"/>
        <w:spacing w:line="360" w:lineRule="auto"/>
        <w:rPr>
          <w:rFonts w:ascii="宋体" w:hAnsi="宋体"/>
          <w:b/>
          <w:sz w:val="32"/>
          <w:szCs w:val="32"/>
        </w:rPr>
      </w:pPr>
    </w:p>
    <w:p w14:paraId="6E0EAC3A">
      <w:pPr>
        <w:snapToGrid w:val="0"/>
        <w:spacing w:line="360" w:lineRule="auto"/>
        <w:rPr>
          <w:rFonts w:ascii="宋体" w:hAnsi="宋体"/>
          <w:b/>
          <w:sz w:val="32"/>
          <w:szCs w:val="32"/>
        </w:rPr>
      </w:pPr>
    </w:p>
    <w:p w14:paraId="006416B9">
      <w:pPr>
        <w:snapToGrid w:val="0"/>
        <w:spacing w:line="360" w:lineRule="auto"/>
        <w:rPr>
          <w:rFonts w:ascii="宋体" w:hAnsi="宋体"/>
          <w:b/>
          <w:sz w:val="32"/>
          <w:szCs w:val="32"/>
        </w:rPr>
      </w:pPr>
    </w:p>
    <w:p w14:paraId="0F3484E0">
      <w:pPr>
        <w:snapToGrid w:val="0"/>
        <w:spacing w:line="360" w:lineRule="auto"/>
        <w:rPr>
          <w:rFonts w:ascii="宋体" w:hAnsi="宋体"/>
          <w:b/>
          <w:sz w:val="32"/>
          <w:szCs w:val="32"/>
        </w:rPr>
      </w:pPr>
    </w:p>
    <w:p w14:paraId="3AAB94A4">
      <w:pPr>
        <w:snapToGrid w:val="0"/>
        <w:spacing w:line="360" w:lineRule="auto"/>
        <w:rPr>
          <w:rFonts w:ascii="宋体" w:hAnsi="宋体"/>
          <w:b/>
          <w:sz w:val="32"/>
          <w:szCs w:val="32"/>
        </w:rPr>
      </w:pPr>
    </w:p>
    <w:p w14:paraId="76039EBA">
      <w:pPr>
        <w:snapToGrid w:val="0"/>
        <w:spacing w:line="360" w:lineRule="auto"/>
        <w:rPr>
          <w:rFonts w:ascii="宋体" w:hAnsi="宋体"/>
          <w:b/>
          <w:sz w:val="32"/>
          <w:szCs w:val="32"/>
        </w:rPr>
      </w:pPr>
    </w:p>
    <w:p w14:paraId="62EBC43D">
      <w:pPr>
        <w:snapToGrid w:val="0"/>
        <w:spacing w:line="360" w:lineRule="auto"/>
        <w:rPr>
          <w:rFonts w:ascii="宋体" w:hAnsi="宋体"/>
          <w:b/>
          <w:sz w:val="32"/>
          <w:szCs w:val="32"/>
        </w:rPr>
      </w:pPr>
    </w:p>
    <w:p w14:paraId="3B79418F">
      <w:pPr>
        <w:snapToGrid w:val="0"/>
        <w:spacing w:line="360" w:lineRule="auto"/>
        <w:ind w:firstLine="2108" w:firstLineChars="700"/>
        <w:rPr>
          <w:rFonts w:hint="eastAsia" w:ascii="宋体" w:hAnsi="宋体"/>
          <w:b/>
          <w:bCs/>
          <w:sz w:val="30"/>
          <w:szCs w:val="30"/>
          <w:u w:val="single"/>
          <w:lang w:val="en-US" w:eastAsia="zh-CN"/>
        </w:rPr>
      </w:pPr>
      <w:r>
        <w:rPr>
          <w:rFonts w:hint="eastAsia" w:ascii="宋体" w:hAnsi="宋体"/>
          <w:b/>
          <w:bCs/>
          <w:sz w:val="30"/>
          <w:szCs w:val="30"/>
        </w:rPr>
        <w:t>甲方：</w:t>
      </w:r>
      <w:bookmarkStart w:id="5" w:name="OLE_LINK1"/>
      <w:bookmarkStart w:id="6" w:name="OLE_LINK69"/>
      <w:r>
        <w:rPr>
          <w:rFonts w:hint="eastAsia" w:ascii="宋体" w:hAnsi="宋体"/>
          <w:b/>
          <w:bCs/>
          <w:sz w:val="30"/>
          <w:szCs w:val="30"/>
          <w:u w:val="single"/>
          <w:lang w:val="en-US" w:eastAsia="zh-CN"/>
        </w:rPr>
        <w:t>渭南市华州区文化和旅游局</w:t>
      </w:r>
      <w:bookmarkEnd w:id="5"/>
    </w:p>
    <w:bookmarkEnd w:id="6"/>
    <w:p w14:paraId="20432B54">
      <w:pPr>
        <w:snapToGrid w:val="0"/>
        <w:spacing w:line="360" w:lineRule="auto"/>
        <w:ind w:firstLine="2108" w:firstLineChars="700"/>
        <w:rPr>
          <w:rFonts w:ascii="宋体" w:hAnsi="宋体"/>
          <w:b/>
          <w:bCs/>
          <w:sz w:val="30"/>
          <w:szCs w:val="30"/>
        </w:rPr>
      </w:pPr>
      <w:r>
        <w:rPr>
          <w:rFonts w:hint="eastAsia" w:ascii="宋体" w:hAnsi="宋体"/>
          <w:b/>
          <w:bCs/>
          <w:sz w:val="30"/>
          <w:szCs w:val="30"/>
        </w:rPr>
        <w:t>乙方：</w:t>
      </w:r>
      <w:r>
        <w:rPr>
          <w:rFonts w:hint="eastAsia" w:ascii="宋体" w:hAnsi="宋体"/>
          <w:b/>
          <w:bCs/>
          <w:sz w:val="30"/>
          <w:szCs w:val="30"/>
          <w:u w:val="single"/>
        </w:rPr>
        <w:t xml:space="preserve">                          </w:t>
      </w:r>
    </w:p>
    <w:p w14:paraId="74D2C792">
      <w:pPr>
        <w:snapToGrid w:val="0"/>
        <w:spacing w:line="360" w:lineRule="auto"/>
        <w:jc w:val="center"/>
        <w:rPr>
          <w:rFonts w:ascii="宋体" w:hAnsi="宋体"/>
          <w:b/>
          <w:bCs/>
          <w:spacing w:val="26"/>
          <w:sz w:val="30"/>
          <w:szCs w:val="30"/>
        </w:rPr>
      </w:pPr>
      <w:r>
        <w:rPr>
          <w:rFonts w:hint="eastAsia" w:ascii="宋体" w:hAnsi="宋体"/>
          <w:b/>
          <w:bCs/>
          <w:spacing w:val="26"/>
          <w:sz w:val="30"/>
          <w:szCs w:val="30"/>
        </w:rPr>
        <w:t xml:space="preserve"> </w:t>
      </w:r>
      <w:r>
        <w:rPr>
          <w:rFonts w:hint="eastAsia" w:ascii="宋体" w:hAnsi="宋体"/>
          <w:b/>
          <w:bCs/>
          <w:spacing w:val="26"/>
          <w:sz w:val="30"/>
          <w:szCs w:val="30"/>
          <w:lang w:eastAsia="zh-CN"/>
        </w:rPr>
        <w:t>二〇二六</w:t>
      </w:r>
      <w:r>
        <w:rPr>
          <w:rFonts w:hint="eastAsia" w:ascii="宋体" w:hAnsi="宋体"/>
          <w:b/>
          <w:bCs/>
          <w:spacing w:val="26"/>
          <w:sz w:val="30"/>
          <w:szCs w:val="30"/>
        </w:rPr>
        <w:t>年</w:t>
      </w:r>
      <w:r>
        <w:rPr>
          <w:rFonts w:hint="eastAsia" w:ascii="宋体" w:hAnsi="宋体"/>
          <w:b/>
          <w:bCs/>
          <w:spacing w:val="26"/>
          <w:sz w:val="30"/>
          <w:szCs w:val="30"/>
          <w:u w:val="single"/>
        </w:rPr>
        <w:t xml:space="preserve">  </w:t>
      </w:r>
      <w:r>
        <w:rPr>
          <w:rFonts w:hint="eastAsia" w:ascii="宋体" w:hAnsi="宋体"/>
          <w:b/>
          <w:bCs/>
          <w:spacing w:val="26"/>
          <w:sz w:val="30"/>
          <w:szCs w:val="30"/>
        </w:rPr>
        <w:t>月</w:t>
      </w:r>
      <w:r>
        <w:rPr>
          <w:rFonts w:hint="eastAsia" w:ascii="宋体" w:hAnsi="宋体"/>
          <w:b/>
          <w:bCs/>
          <w:spacing w:val="26"/>
          <w:sz w:val="30"/>
          <w:szCs w:val="30"/>
          <w:u w:val="single"/>
        </w:rPr>
        <w:t xml:space="preserve">  </w:t>
      </w:r>
      <w:r>
        <w:rPr>
          <w:rFonts w:hint="eastAsia" w:ascii="宋体" w:hAnsi="宋体"/>
          <w:b/>
          <w:bCs/>
          <w:spacing w:val="26"/>
          <w:sz w:val="30"/>
          <w:szCs w:val="30"/>
        </w:rPr>
        <w:t>日</w:t>
      </w:r>
    </w:p>
    <w:p w14:paraId="345EDE0A">
      <w:pPr>
        <w:adjustRightInd w:val="0"/>
        <w:snapToGrid w:val="0"/>
        <w:spacing w:line="360" w:lineRule="auto"/>
        <w:rPr>
          <w:rFonts w:ascii="宋体" w:hAnsi="宋体" w:cs="宋体"/>
          <w:sz w:val="24"/>
        </w:rPr>
        <w:sectPr>
          <w:footerReference r:id="rId3" w:type="default"/>
          <w:pgSz w:w="11906" w:h="16838"/>
          <w:pgMar w:top="1417" w:right="1417" w:bottom="1417" w:left="1417" w:header="851" w:footer="992" w:gutter="0"/>
          <w:pgNumType w:fmt="decimal"/>
          <w:cols w:space="720" w:num="1"/>
          <w:docGrid w:type="lines" w:linePitch="312" w:charSpace="0"/>
        </w:sectPr>
      </w:pPr>
    </w:p>
    <w:p w14:paraId="3052AE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bCs/>
          <w:sz w:val="24"/>
          <w:highlight w:val="none"/>
        </w:rPr>
      </w:pPr>
      <w:r>
        <w:rPr>
          <w:rFonts w:hint="eastAsia" w:ascii="宋体" w:hAnsi="宋体"/>
          <w:bCs/>
          <w:sz w:val="24"/>
          <w:highlight w:val="none"/>
          <w:lang w:val="en-US" w:eastAsia="zh-CN"/>
        </w:rPr>
        <w:t>渭南市华州区文化和旅游局</w:t>
      </w:r>
      <w:r>
        <w:rPr>
          <w:rFonts w:hint="eastAsia" w:ascii="宋体" w:hAnsi="宋体"/>
          <w:bCs/>
          <w:sz w:val="24"/>
          <w:highlight w:val="none"/>
        </w:rPr>
        <w:t>（以下简称甲方）</w:t>
      </w:r>
      <w:r>
        <w:rPr>
          <w:rFonts w:hint="eastAsia" w:ascii="宋体" w:hAnsi="宋体"/>
          <w:bCs/>
          <w:sz w:val="24"/>
          <w:highlight w:val="none"/>
          <w:shd w:val="clear" w:color="auto" w:fill="FFFFFF"/>
        </w:rPr>
        <w:t>经</w:t>
      </w:r>
      <w:r>
        <w:rPr>
          <w:rFonts w:hint="eastAsia" w:ascii="宋体" w:hAnsi="宋体"/>
          <w:bCs/>
          <w:sz w:val="24"/>
          <w:highlight w:val="none"/>
          <w:shd w:val="clear" w:color="auto" w:fill="FFFFFF"/>
          <w:lang w:eastAsia="zh-CN"/>
        </w:rPr>
        <w:t>政府</w:t>
      </w:r>
      <w:r>
        <w:rPr>
          <w:rFonts w:hint="eastAsia" w:ascii="宋体" w:hAnsi="宋体"/>
          <w:bCs/>
          <w:sz w:val="24"/>
          <w:highlight w:val="none"/>
          <w:shd w:val="clear" w:color="auto" w:fill="FFFFFF"/>
        </w:rPr>
        <w:t>采</w:t>
      </w:r>
      <w:r>
        <w:rPr>
          <w:rFonts w:hint="eastAsia" w:ascii="宋体" w:hAnsi="宋体"/>
          <w:bCs/>
          <w:sz w:val="24"/>
          <w:highlight w:val="none"/>
        </w:rPr>
        <w:t>购，选定</w:t>
      </w:r>
      <w:r>
        <w:rPr>
          <w:rFonts w:hint="eastAsia" w:ascii="宋体" w:hAnsi="宋体"/>
          <w:bCs/>
          <w:sz w:val="24"/>
          <w:highlight w:val="none"/>
          <w:u w:val="single"/>
        </w:rPr>
        <w:t xml:space="preserve">        公司</w:t>
      </w:r>
      <w:r>
        <w:rPr>
          <w:rFonts w:hint="eastAsia" w:ascii="宋体" w:hAnsi="宋体"/>
          <w:bCs/>
          <w:sz w:val="24"/>
          <w:highlight w:val="none"/>
        </w:rPr>
        <w:t>（以下简称乙方）为渭南市华州区2026年戏曲进乡村惠民演出</w:t>
      </w:r>
      <w:r>
        <w:rPr>
          <w:rFonts w:hint="eastAsia" w:ascii="宋体" w:hAnsi="宋体"/>
          <w:bCs/>
          <w:sz w:val="24"/>
          <w:highlight w:val="none"/>
          <w:lang w:val="en-US" w:eastAsia="zh-CN"/>
        </w:rPr>
        <w:t>项目</w:t>
      </w:r>
      <w:r>
        <w:rPr>
          <w:rFonts w:hint="eastAsia" w:ascii="宋体" w:hAnsi="宋体"/>
          <w:bCs/>
          <w:sz w:val="24"/>
          <w:highlight w:val="none"/>
        </w:rPr>
        <w:t>成交</w:t>
      </w:r>
      <w:r>
        <w:rPr>
          <w:rFonts w:hint="eastAsia" w:ascii="宋体" w:hAnsi="宋体" w:eastAsia="宋体"/>
          <w:bCs/>
          <w:sz w:val="24"/>
          <w:highlight w:val="none"/>
          <w:lang w:eastAsia="zh-CN"/>
        </w:rPr>
        <w:t>供应商</w:t>
      </w:r>
      <w:r>
        <w:rPr>
          <w:rFonts w:hint="eastAsia" w:ascii="宋体" w:hAnsi="宋体"/>
          <w:bCs/>
          <w:sz w:val="24"/>
          <w:highlight w:val="none"/>
        </w:rPr>
        <w:t>。依据《中华人民共和国民法典》，经甲、乙双方共同协商，按下述条款和条件签署本合同。</w:t>
      </w:r>
      <w:bookmarkStart w:id="7" w:name="_GoBack"/>
      <w:bookmarkEnd w:id="7"/>
    </w:p>
    <w:p w14:paraId="63B2C5C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采购人（甲方）：</w:t>
      </w:r>
      <w:r>
        <w:rPr>
          <w:rFonts w:hint="eastAsia" w:ascii="宋体" w:hAnsi="宋体" w:eastAsia="宋体" w:cs="宋体"/>
          <w:color w:val="000000"/>
          <w:spacing w:val="0"/>
          <w:position w:val="0"/>
          <w:sz w:val="24"/>
          <w:szCs w:val="24"/>
          <w:highlight w:val="none"/>
          <w:u w:val="single" w:color="auto"/>
        </w:rPr>
        <w:t xml:space="preserve">                                           </w:t>
      </w:r>
    </w:p>
    <w:p w14:paraId="03BB338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供应商（乙方）：</w:t>
      </w:r>
      <w:r>
        <w:rPr>
          <w:rFonts w:hint="eastAsia" w:ascii="宋体" w:hAnsi="宋体" w:eastAsia="宋体" w:cs="宋体"/>
          <w:color w:val="000000"/>
          <w:spacing w:val="0"/>
          <w:position w:val="0"/>
          <w:sz w:val="24"/>
          <w:szCs w:val="24"/>
          <w:highlight w:val="none"/>
          <w:u w:val="single" w:color="auto"/>
        </w:rPr>
        <w:t xml:space="preserve">                                           </w:t>
      </w:r>
    </w:p>
    <w:p w14:paraId="3677FF0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根据《中华人民共和国政府采购法》及实施条例、《中华人民共和国民法典》及其 他有关法律、法规，和甲方就</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 xml:space="preserve"> 项目的磋商、磋商响应文件，为保证甲方采购项目的顺利实施，遵循平等、自愿、公平和诚信的原则，甲、乙双方同意签订本合同，并共同遵守如下条款：</w:t>
      </w:r>
    </w:p>
    <w:p w14:paraId="0781AFC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第一条 项目基本情况</w:t>
      </w:r>
    </w:p>
    <w:p w14:paraId="1A1876D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default" w:ascii="宋体" w:hAnsi="宋体" w:eastAsia="宋体" w:cs="宋体"/>
          <w:b/>
          <w:bCs/>
          <w:color w:val="000000"/>
          <w:spacing w:val="0"/>
          <w:position w:val="0"/>
          <w:sz w:val="24"/>
          <w:szCs w:val="24"/>
          <w:highlight w:val="none"/>
          <w:lang w:val="en-US" w:eastAsia="zh-CN"/>
        </w:rPr>
      </w:pP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u w:val="single" w:color="auto"/>
          <w:lang w:val="en-US" w:eastAsia="zh-CN"/>
        </w:rPr>
        <w:t xml:space="preserve">                                   </w:t>
      </w:r>
    </w:p>
    <w:p w14:paraId="050BA24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第二条 合同期限</w:t>
      </w:r>
    </w:p>
    <w:p w14:paraId="2EFB14C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自</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 xml:space="preserve"> 年</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 xml:space="preserve"> 月</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 xml:space="preserve"> 日至</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 xml:space="preserve"> 年</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 xml:space="preserve"> 月</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 xml:space="preserve"> 日，共</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 xml:space="preserve"> 日历日。</w:t>
      </w:r>
    </w:p>
    <w:p w14:paraId="5FF8D93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第三条 服务内容与质量标准</w:t>
      </w:r>
    </w:p>
    <w:p w14:paraId="0E0B650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1 、</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w:t>
      </w:r>
    </w:p>
    <w:p w14:paraId="20A5929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2 、</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w:t>
      </w:r>
    </w:p>
    <w:p w14:paraId="624DC9F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3 、</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w:t>
      </w:r>
    </w:p>
    <w:p w14:paraId="2C2E931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第四条 服务费用</w:t>
      </w:r>
    </w:p>
    <w:p w14:paraId="09E1F15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default" w:ascii="宋体" w:hAnsi="宋体" w:eastAsia="宋体" w:cs="宋体"/>
          <w:color w:val="000000"/>
          <w:spacing w:val="0"/>
          <w:position w:val="0"/>
          <w:sz w:val="24"/>
          <w:szCs w:val="24"/>
          <w:highlight w:val="none"/>
          <w:u w:val="single"/>
          <w:lang w:val="en-US" w:eastAsia="zh-CN"/>
        </w:rPr>
      </w:pPr>
      <w:r>
        <w:rPr>
          <w:rFonts w:hint="eastAsia" w:ascii="宋体" w:hAnsi="宋体" w:eastAsia="宋体" w:cs="宋体"/>
          <w:color w:val="000000"/>
          <w:spacing w:val="0"/>
          <w:position w:val="0"/>
          <w:sz w:val="24"/>
          <w:szCs w:val="24"/>
          <w:highlight w:val="none"/>
        </w:rPr>
        <w:t>（一）合同价为</w:t>
      </w:r>
      <w:r>
        <w:rPr>
          <w:rFonts w:hint="eastAsia" w:ascii="宋体" w:hAnsi="宋体" w:eastAsia="宋体" w:cs="宋体"/>
          <w:color w:val="000000"/>
          <w:spacing w:val="0"/>
          <w:position w:val="0"/>
          <w:sz w:val="24"/>
          <w:szCs w:val="24"/>
          <w:highlight w:val="none"/>
          <w:lang w:eastAsia="zh-CN"/>
        </w:rPr>
        <w:t>：</w:t>
      </w:r>
      <w:r>
        <w:rPr>
          <w:rFonts w:hint="eastAsia" w:ascii="宋体" w:hAnsi="宋体" w:eastAsia="宋体" w:cs="宋体"/>
          <w:color w:val="000000"/>
          <w:spacing w:val="0"/>
          <w:position w:val="0"/>
          <w:sz w:val="24"/>
          <w:szCs w:val="24"/>
          <w:highlight w:val="none"/>
          <w:u w:val="single"/>
          <w:lang w:val="en-US" w:eastAsia="zh-CN"/>
        </w:rPr>
        <w:t xml:space="preserve">                                                 </w:t>
      </w:r>
    </w:p>
    <w:p w14:paraId="2AD3DFE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（二）合同价一次性包死，不受市场价格变化因素的影响。</w:t>
      </w:r>
    </w:p>
    <w:p w14:paraId="068F230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第五条 服务费支付方式</w:t>
      </w:r>
    </w:p>
    <w:p w14:paraId="6F2994D1">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1 、</w:t>
      </w:r>
      <w:r>
        <w:rPr>
          <w:rFonts w:hint="eastAsia" w:ascii="宋体" w:hAnsi="宋体" w:eastAsia="宋体" w:cs="宋体"/>
          <w:color w:val="000000"/>
          <w:spacing w:val="0"/>
          <w:position w:val="0"/>
          <w:sz w:val="24"/>
          <w:szCs w:val="24"/>
          <w:highlight w:val="none"/>
          <w:u w:val="single" w:color="auto"/>
        </w:rPr>
        <w:t xml:space="preserve">                                                                     </w:t>
      </w:r>
    </w:p>
    <w:p w14:paraId="0C015F1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2 、乙方须向甲方出具合法有效完整的完税发票，甲方进行支付结算。</w:t>
      </w:r>
    </w:p>
    <w:p w14:paraId="2CE47E7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3 、结算方式：银行转账。</w:t>
      </w:r>
    </w:p>
    <w:p w14:paraId="405D136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第六条 知识产权</w:t>
      </w:r>
    </w:p>
    <w:p w14:paraId="29B534C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1 、乙方应保证所提供的服务或其任何一部分均不会侵犯任何第三方的专利权、商标权或著作权。</w:t>
      </w:r>
    </w:p>
    <w:p w14:paraId="7F9A1A3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第七条 无产权瑕疵条款</w:t>
      </w:r>
    </w:p>
    <w:p w14:paraId="209399C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1 、乙方保证所提供的服务的所有权完全属于乙方且无任何抵押、查封等产权瑕疵。</w:t>
      </w:r>
    </w:p>
    <w:p w14:paraId="7994EA3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如有产权瑕疵的，视为乙方违约。乙方应负担由此而产生的一切损失。</w:t>
      </w:r>
    </w:p>
    <w:p w14:paraId="65FCEF7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第八条 履约保证金</w:t>
      </w:r>
    </w:p>
    <w:p w14:paraId="766F9BA1">
      <w:pPr>
        <w:keepNext w:val="0"/>
        <w:keepLines w:val="0"/>
        <w:pageBreakBefore w:val="0"/>
        <w:widowControl w:val="0"/>
        <w:tabs>
          <w:tab w:val="left" w:pos="0"/>
        </w:tabs>
        <w:kinsoku w:val="0"/>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pacing w:val="0"/>
          <w:kern w:val="0"/>
          <w:sz w:val="24"/>
          <w:szCs w:val="24"/>
          <w:highlight w:val="none"/>
        </w:rPr>
      </w:pPr>
      <w:r>
        <w:rPr>
          <w:rFonts w:hint="eastAsia" w:ascii="宋体" w:hAnsi="宋体" w:eastAsia="宋体" w:cs="宋体"/>
          <w:color w:val="000000"/>
          <w:spacing w:val="0"/>
          <w:kern w:val="0"/>
          <w:sz w:val="24"/>
          <w:szCs w:val="24"/>
          <w:highlight w:val="none"/>
        </w:rPr>
        <w:t>1 、乙方在签订本合同之前，须向甲方提交履约保证金人民币       元。</w:t>
      </w:r>
    </w:p>
    <w:p w14:paraId="248B87AA">
      <w:pPr>
        <w:keepNext w:val="0"/>
        <w:keepLines w:val="0"/>
        <w:pageBreakBefore w:val="0"/>
        <w:widowControl w:val="0"/>
        <w:tabs>
          <w:tab w:val="left" w:pos="0"/>
        </w:tabs>
        <w:kinsoku w:val="0"/>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pacing w:val="0"/>
          <w:kern w:val="0"/>
          <w:sz w:val="24"/>
          <w:szCs w:val="24"/>
          <w:highlight w:val="none"/>
        </w:rPr>
      </w:pPr>
      <w:r>
        <w:rPr>
          <w:rFonts w:hint="eastAsia" w:ascii="宋体" w:hAnsi="宋体" w:eastAsia="宋体" w:cs="宋体"/>
          <w:color w:val="000000"/>
          <w:spacing w:val="0"/>
          <w:kern w:val="0"/>
          <w:sz w:val="24"/>
          <w:szCs w:val="24"/>
          <w:highlight w:val="none"/>
        </w:rPr>
        <w:t>2、履约保证金的有效期为乙方承诺的服务期限。</w:t>
      </w:r>
    </w:p>
    <w:p w14:paraId="536B1E1E">
      <w:pPr>
        <w:keepNext w:val="0"/>
        <w:keepLines w:val="0"/>
        <w:pageBreakBefore w:val="0"/>
        <w:widowControl w:val="0"/>
        <w:tabs>
          <w:tab w:val="left" w:pos="0"/>
        </w:tabs>
        <w:kinsoku w:val="0"/>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pacing w:val="0"/>
          <w:kern w:val="0"/>
          <w:sz w:val="24"/>
          <w:szCs w:val="24"/>
          <w:highlight w:val="none"/>
        </w:rPr>
      </w:pPr>
      <w:r>
        <w:rPr>
          <w:rFonts w:hint="eastAsia" w:ascii="宋体" w:hAnsi="宋体" w:eastAsia="宋体" w:cs="宋体"/>
          <w:color w:val="000000"/>
          <w:spacing w:val="0"/>
          <w:kern w:val="0"/>
          <w:sz w:val="24"/>
          <w:szCs w:val="24"/>
          <w:highlight w:val="none"/>
        </w:rPr>
        <w:t>3、履约保证金作为违约金的一部分及用于补偿甲方因乙方不能履行合同义务而蒙受的损失。</w:t>
      </w:r>
    </w:p>
    <w:p w14:paraId="378033FE">
      <w:pPr>
        <w:keepNext w:val="0"/>
        <w:keepLines w:val="0"/>
        <w:pageBreakBefore w:val="0"/>
        <w:widowControl w:val="0"/>
        <w:tabs>
          <w:tab w:val="left" w:pos="0"/>
        </w:tabs>
        <w:kinsoku w:val="0"/>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pacing w:val="0"/>
          <w:kern w:val="0"/>
          <w:sz w:val="24"/>
          <w:szCs w:val="24"/>
          <w:highlight w:val="none"/>
        </w:rPr>
      </w:pPr>
      <w:r>
        <w:rPr>
          <w:rFonts w:hint="eastAsia" w:ascii="宋体" w:hAnsi="宋体" w:eastAsia="宋体" w:cs="宋体"/>
          <w:color w:val="000000"/>
          <w:spacing w:val="0"/>
          <w:kern w:val="0"/>
          <w:sz w:val="24"/>
          <w:szCs w:val="24"/>
          <w:highlight w:val="none"/>
        </w:rPr>
        <w:t xml:space="preserve">4、服务期限结束后，甲方财务部门接到甲方确认本合同服务等约定事项已经履行完毕的正式书面文件后的  </w:t>
      </w:r>
      <w:r>
        <w:rPr>
          <w:rFonts w:hint="eastAsia" w:ascii="宋体" w:hAnsi="宋体" w:eastAsia="宋体" w:cs="宋体"/>
          <w:color w:val="000000"/>
          <w:spacing w:val="0"/>
          <w:kern w:val="0"/>
          <w:sz w:val="24"/>
          <w:szCs w:val="24"/>
          <w:highlight w:val="none"/>
          <w:lang w:val="en-US" w:eastAsia="zh-CN"/>
        </w:rPr>
        <w:t xml:space="preserve">  </w:t>
      </w:r>
      <w:r>
        <w:rPr>
          <w:rFonts w:hint="eastAsia" w:ascii="宋体" w:hAnsi="宋体" w:eastAsia="宋体" w:cs="宋体"/>
          <w:color w:val="000000"/>
          <w:spacing w:val="0"/>
          <w:kern w:val="0"/>
          <w:sz w:val="24"/>
          <w:szCs w:val="24"/>
          <w:highlight w:val="none"/>
        </w:rPr>
        <w:t>日内，向乙方退还履约保证金。</w:t>
      </w:r>
    </w:p>
    <w:p w14:paraId="3817F270">
      <w:pPr>
        <w:keepNext w:val="0"/>
        <w:keepLines w:val="0"/>
        <w:pageBreakBefore w:val="0"/>
        <w:widowControl w:val="0"/>
        <w:tabs>
          <w:tab w:val="left" w:pos="0"/>
        </w:tabs>
        <w:kinsoku w:val="0"/>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pacing w:val="0"/>
          <w:kern w:val="0"/>
          <w:sz w:val="24"/>
          <w:szCs w:val="24"/>
          <w:highlight w:val="none"/>
        </w:rPr>
      </w:pPr>
      <w:r>
        <w:rPr>
          <w:rFonts w:hint="eastAsia" w:ascii="宋体" w:hAnsi="宋体" w:eastAsia="宋体" w:cs="宋体"/>
          <w:color w:val="000000"/>
          <w:spacing w:val="0"/>
          <w:kern w:val="0"/>
          <w:sz w:val="24"/>
          <w:szCs w:val="24"/>
          <w:highlight w:val="none"/>
        </w:rPr>
        <w:t>5 、若乙方不能按本须知规定交纳履约保证金，甲方将有充分理由拒绝签订合同，由此给甲方造成的损失应当予以赔偿。</w:t>
      </w:r>
    </w:p>
    <w:p w14:paraId="61527CE0">
      <w:pPr>
        <w:keepNext w:val="0"/>
        <w:keepLines w:val="0"/>
        <w:pageBreakBefore w:val="0"/>
        <w:widowControl w:val="0"/>
        <w:tabs>
          <w:tab w:val="left" w:pos="0"/>
        </w:tabs>
        <w:kinsoku w:val="0"/>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pacing w:val="0"/>
          <w:kern w:val="0"/>
          <w:sz w:val="24"/>
          <w:szCs w:val="24"/>
          <w:highlight w:val="none"/>
        </w:rPr>
      </w:pPr>
      <w:r>
        <w:rPr>
          <w:rFonts w:hint="eastAsia" w:ascii="宋体" w:hAnsi="宋体" w:eastAsia="宋体" w:cs="宋体"/>
          <w:color w:val="000000"/>
          <w:spacing w:val="0"/>
          <w:kern w:val="0"/>
          <w:sz w:val="24"/>
          <w:szCs w:val="24"/>
          <w:highlight w:val="none"/>
        </w:rPr>
        <w:t>6 、若乙方未能履行合同规定的义务，甲方有权没收履约保证金取得补偿，因此给甲方造成的损失超过磋商担保数额的，还应当对超过部分予以赔偿。</w:t>
      </w:r>
    </w:p>
    <w:p w14:paraId="0FBD419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第九条 甲方的权利和义务</w:t>
      </w:r>
    </w:p>
    <w:p w14:paraId="29B40B02">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1 、甲方有权对合同规定范围内乙方的服务行为进行监督和检查，拥有监管权。有 权定期核对乙方提供服务所配备的人员数量。对甲方认为不合理的部分有权下达整改通知书，并要求乙方限期整改。</w:t>
      </w:r>
    </w:p>
    <w:p w14:paraId="7CBA15E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2 、甲方有权依据双方签订的考评办法对乙方提供的服务进行定期考评。当考评结果未达到标准时，有权依据考评办法约定的数额扣除履约保证金。</w:t>
      </w:r>
    </w:p>
    <w:p w14:paraId="1788485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3 、负责检查监督乙方管理工作的实施及制度的执行情况。</w:t>
      </w:r>
    </w:p>
    <w:p w14:paraId="6C4D3E5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4 、根据本合同规定，按时向乙方支付应付服务费用。</w:t>
      </w:r>
    </w:p>
    <w:p w14:paraId="2B17318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5 、国家法律、法规所规定由甲方承担的其它责任。</w:t>
      </w:r>
    </w:p>
    <w:p w14:paraId="030C583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第十条 乙方的权利和义务</w:t>
      </w:r>
    </w:p>
    <w:p w14:paraId="6C29496D">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1 、对本合同规定的委托服务范围内的项目享有管理权及服务义务。</w:t>
      </w:r>
    </w:p>
    <w:p w14:paraId="2F0ED1D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2 、根据本合同的规定向甲方收取相关服务费用，并有权在本项目管理范围内管理及合理使用。</w:t>
      </w:r>
    </w:p>
    <w:p w14:paraId="774B64A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3 、及时向甲方通告本项目服务范围内有关服务的重大事项，及时配合处理投诉。</w:t>
      </w:r>
    </w:p>
    <w:p w14:paraId="7A27888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4 、接受项目行业管理部门及政府有关部门的指导，接受甲方的监督。</w:t>
      </w:r>
    </w:p>
    <w:p w14:paraId="32ED794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5 、国家法律、法规所规定由乙方承担的其它责任。</w:t>
      </w:r>
    </w:p>
    <w:p w14:paraId="2A9AD10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第十一条 违约责任</w:t>
      </w:r>
    </w:p>
    <w:p w14:paraId="2B9B8AD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1 、甲乙双方必须遵守本合同并执行合同中的各项规定，保证本合同的正常履行。</w:t>
      </w:r>
    </w:p>
    <w:p w14:paraId="1F51E96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2 、如因乙方工作人员在履行职务过程中的的疏忽、失职、过错等故意或者过失原 因给甲方造成损失或侵害，包括但不限于甲方本身的财产损失、由此而导致的甲方对任何第三方的法律责任等，乙方对此均应承担全部的赔偿责任。</w:t>
      </w:r>
    </w:p>
    <w:p w14:paraId="7AAC7DB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第十二条 不可抗力事件处理</w:t>
      </w:r>
    </w:p>
    <w:p w14:paraId="69B7AD7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1 、在合同有效期内，任何一方因不可抗力事件导致不能履行合同，则合同履行期可延长，其延长期与不可抗力影响期相同。</w:t>
      </w:r>
    </w:p>
    <w:p w14:paraId="78D27BA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2 、不可抗力事件发生后，应立即通知对方，并寄送有关权威机构出具的证明。</w:t>
      </w:r>
    </w:p>
    <w:p w14:paraId="1D71FE2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3、不可抗力事件延续</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 xml:space="preserve"> 天以上，双方应通过友好协商，确定是否继续履行合同。</w:t>
      </w:r>
    </w:p>
    <w:p w14:paraId="7900BCD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第十三条 合同的变更和终止</w:t>
      </w:r>
    </w:p>
    <w:p w14:paraId="66B0F834">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除《</w:t>
      </w:r>
      <w:r>
        <w:rPr>
          <w:rFonts w:hint="eastAsia" w:ascii="宋体" w:hAnsi="宋体" w:eastAsia="宋体" w:cs="宋体"/>
          <w:color w:val="000000"/>
          <w:spacing w:val="0"/>
          <w:position w:val="0"/>
          <w:sz w:val="24"/>
          <w:szCs w:val="24"/>
          <w:highlight w:val="none"/>
          <w:lang w:val="en-US" w:eastAsia="zh-CN"/>
        </w:rPr>
        <w:t>中华人民共和国</w:t>
      </w:r>
      <w:r>
        <w:rPr>
          <w:rFonts w:hint="eastAsia" w:ascii="宋体" w:hAnsi="宋体" w:eastAsia="宋体" w:cs="宋体"/>
          <w:color w:val="000000"/>
          <w:spacing w:val="0"/>
          <w:position w:val="0"/>
          <w:sz w:val="24"/>
          <w:szCs w:val="24"/>
          <w:highlight w:val="none"/>
        </w:rPr>
        <w:t>政府采购法》第 49 条、第 50 条第二款规定的情形外，本合同一经签订，甲乙双方不得擅自变更、中止或终止合同。</w:t>
      </w:r>
    </w:p>
    <w:p w14:paraId="77DE6805">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第十四条 争议的解决</w:t>
      </w:r>
    </w:p>
    <w:p w14:paraId="3ACBE447">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1 、因履行本合同引起的或与本合同有关的争议，甲、乙双方应首先通过友好协商解决，如果协商不能解决争议，则采取以下第</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 xml:space="preserve"> 种方式解决争议：</w:t>
      </w:r>
    </w:p>
    <w:p w14:paraId="6B8A2C3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（1）向甲方所在地有管辖权的人民法院提起诉讼；</w:t>
      </w:r>
    </w:p>
    <w:p w14:paraId="13342348">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（2）向</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 xml:space="preserve"> 仲裁委员会按其仲裁规则申请仲裁。</w:t>
      </w:r>
    </w:p>
    <w:p w14:paraId="0E6C9B7B">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2 、在仲裁期间，本合同应继续履行。</w:t>
      </w:r>
    </w:p>
    <w:p w14:paraId="4AF4D59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第十五条 合同文件</w:t>
      </w:r>
    </w:p>
    <w:p w14:paraId="0D239DD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5FF6BACC">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1 、本合同书</w:t>
      </w:r>
    </w:p>
    <w:p w14:paraId="489900AF">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2 、成交通知书</w:t>
      </w:r>
    </w:p>
    <w:p w14:paraId="277724C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3 、协议</w:t>
      </w:r>
    </w:p>
    <w:p w14:paraId="32F945E0">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4 、磋商响应文件(含澄清文件)</w:t>
      </w:r>
    </w:p>
    <w:p w14:paraId="16A3EB43">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5 、磋商文件(含磋商文件补充通知)</w:t>
      </w:r>
    </w:p>
    <w:p w14:paraId="5AC825F9">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2" w:firstLineChars="200"/>
        <w:jc w:val="both"/>
        <w:textAlignment w:val="auto"/>
        <w:rPr>
          <w:rFonts w:hint="eastAsia" w:ascii="宋体" w:hAnsi="宋体" w:eastAsia="宋体" w:cs="宋体"/>
          <w:b/>
          <w:bCs/>
          <w:color w:val="000000"/>
          <w:spacing w:val="0"/>
          <w:position w:val="0"/>
          <w:sz w:val="24"/>
          <w:szCs w:val="24"/>
          <w:highlight w:val="none"/>
        </w:rPr>
      </w:pPr>
      <w:r>
        <w:rPr>
          <w:rFonts w:hint="eastAsia" w:ascii="宋体" w:hAnsi="宋体" w:eastAsia="宋体" w:cs="宋体"/>
          <w:b/>
          <w:bCs/>
          <w:color w:val="000000"/>
          <w:spacing w:val="0"/>
          <w:position w:val="0"/>
          <w:sz w:val="24"/>
          <w:szCs w:val="24"/>
          <w:highlight w:val="none"/>
        </w:rPr>
        <w:t>第十六条  合同生效及其他</w:t>
      </w:r>
    </w:p>
    <w:p w14:paraId="2C4E812E">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1 、如有未尽事宜，由双方依法订立补充合同。</w:t>
      </w:r>
    </w:p>
    <w:p w14:paraId="2A567276">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2 、本合同自双方签订盖章之日起生效。</w:t>
      </w:r>
    </w:p>
    <w:p w14:paraId="7496CC4A">
      <w:pPr>
        <w:keepNext w:val="0"/>
        <w:keepLines w:val="0"/>
        <w:pageBreakBefore w:val="0"/>
        <w:widowControl/>
        <w:kinsoku/>
        <w:wordWrap/>
        <w:overflowPunct/>
        <w:topLinePunct w:val="0"/>
        <w:autoSpaceDE w:val="0"/>
        <w:autoSpaceDN w:val="0"/>
        <w:bidi w:val="0"/>
        <w:adjustRightInd w:val="0"/>
        <w:snapToGrid w:val="0"/>
        <w:spacing w:line="360" w:lineRule="auto"/>
        <w:ind w:left="0" w:right="0" w:firstLine="480" w:firstLineChars="200"/>
        <w:jc w:val="both"/>
        <w:textAlignment w:val="auto"/>
        <w:rPr>
          <w:rFonts w:hint="eastAsia" w:ascii="宋体" w:hAnsi="宋体" w:eastAsia="宋体" w:cs="宋体"/>
          <w:color w:val="000000"/>
          <w:spacing w:val="0"/>
          <w:position w:val="0"/>
          <w:sz w:val="24"/>
          <w:szCs w:val="24"/>
          <w:highlight w:val="none"/>
        </w:rPr>
      </w:pPr>
      <w:r>
        <w:rPr>
          <w:rFonts w:hint="eastAsia" w:ascii="宋体" w:hAnsi="宋体" w:eastAsia="宋体" w:cs="宋体"/>
          <w:color w:val="000000"/>
          <w:spacing w:val="0"/>
          <w:position w:val="0"/>
          <w:sz w:val="24"/>
          <w:szCs w:val="24"/>
          <w:highlight w:val="none"/>
        </w:rPr>
        <w:t xml:space="preserve">3 、本合同一式 </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 xml:space="preserve">份，甲乙双方各执 </w:t>
      </w:r>
      <w:r>
        <w:rPr>
          <w:rFonts w:hint="eastAsia" w:ascii="宋体" w:hAnsi="宋体" w:eastAsia="宋体" w:cs="宋体"/>
          <w:color w:val="000000"/>
          <w:spacing w:val="0"/>
          <w:position w:val="0"/>
          <w:sz w:val="24"/>
          <w:szCs w:val="24"/>
          <w:highlight w:val="none"/>
          <w:u w:val="single" w:color="auto"/>
        </w:rPr>
        <w:t xml:space="preserve">    </w:t>
      </w:r>
      <w:r>
        <w:rPr>
          <w:rFonts w:hint="eastAsia" w:ascii="宋体" w:hAnsi="宋体" w:eastAsia="宋体" w:cs="宋体"/>
          <w:color w:val="000000"/>
          <w:spacing w:val="0"/>
          <w:position w:val="0"/>
          <w:sz w:val="24"/>
          <w:szCs w:val="24"/>
          <w:highlight w:val="none"/>
        </w:rPr>
        <w:t>份，所有合同具有同等法律效力。</w:t>
      </w:r>
    </w:p>
    <w:p w14:paraId="4321796B">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both"/>
        <w:textAlignment w:val="auto"/>
        <w:rPr>
          <w:rFonts w:hint="eastAsia" w:ascii="宋体" w:hAnsi="宋体" w:eastAsia="宋体" w:cs="宋体"/>
          <w:color w:val="000000"/>
          <w:spacing w:val="0"/>
          <w:kern w:val="0"/>
          <w:sz w:val="24"/>
          <w:szCs w:val="24"/>
          <w:highlight w:val="none"/>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88AA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500" w:type="pct"/>
            <w:tcBorders>
              <w:top w:val="nil"/>
              <w:left w:val="nil"/>
              <w:bottom w:val="nil"/>
              <w:right w:val="nil"/>
            </w:tcBorders>
            <w:noWrap w:val="0"/>
            <w:vAlign w:val="center"/>
          </w:tcPr>
          <w:p w14:paraId="062E72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spacing w:val="0"/>
                <w:kern w:val="0"/>
                <w:sz w:val="24"/>
                <w:szCs w:val="24"/>
                <w:highlight w:val="none"/>
                <w:vertAlign w:val="baseline"/>
              </w:rPr>
            </w:pPr>
            <w:r>
              <w:rPr>
                <w:rFonts w:hint="eastAsia" w:ascii="宋体" w:hAnsi="宋体" w:eastAsia="宋体" w:cs="宋体"/>
                <w:color w:val="000000"/>
                <w:spacing w:val="0"/>
                <w:kern w:val="0"/>
                <w:sz w:val="24"/>
                <w:szCs w:val="24"/>
                <w:highlight w:val="none"/>
              </w:rPr>
              <w:t>甲方(盖章)</w:t>
            </w:r>
          </w:p>
        </w:tc>
        <w:tc>
          <w:tcPr>
            <w:tcW w:w="2500" w:type="pct"/>
            <w:tcBorders>
              <w:top w:val="nil"/>
              <w:left w:val="nil"/>
              <w:bottom w:val="nil"/>
              <w:right w:val="nil"/>
            </w:tcBorders>
            <w:noWrap w:val="0"/>
            <w:vAlign w:val="center"/>
          </w:tcPr>
          <w:p w14:paraId="01B5B9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spacing w:val="0"/>
                <w:kern w:val="0"/>
                <w:sz w:val="24"/>
                <w:szCs w:val="24"/>
                <w:highlight w:val="none"/>
                <w:vertAlign w:val="baseline"/>
              </w:rPr>
            </w:pPr>
            <w:r>
              <w:rPr>
                <w:rFonts w:hint="eastAsia" w:ascii="宋体" w:hAnsi="宋体" w:eastAsia="宋体" w:cs="宋体"/>
                <w:color w:val="000000"/>
                <w:spacing w:val="0"/>
                <w:kern w:val="0"/>
                <w:sz w:val="24"/>
                <w:szCs w:val="24"/>
                <w:highlight w:val="none"/>
                <w:lang w:val="en-US" w:eastAsia="zh-CN"/>
              </w:rPr>
              <w:t>乙方</w:t>
            </w:r>
            <w:r>
              <w:rPr>
                <w:rFonts w:hint="eastAsia" w:ascii="宋体" w:hAnsi="宋体" w:eastAsia="宋体" w:cs="宋体"/>
                <w:color w:val="000000"/>
                <w:spacing w:val="0"/>
                <w:kern w:val="0"/>
                <w:sz w:val="24"/>
                <w:szCs w:val="24"/>
                <w:highlight w:val="none"/>
              </w:rPr>
              <w:t>(盖章)</w:t>
            </w:r>
          </w:p>
        </w:tc>
      </w:tr>
      <w:tr w14:paraId="1AC1B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500" w:type="pct"/>
            <w:tcBorders>
              <w:top w:val="nil"/>
              <w:left w:val="nil"/>
              <w:bottom w:val="nil"/>
              <w:right w:val="nil"/>
            </w:tcBorders>
            <w:noWrap w:val="0"/>
            <w:vAlign w:val="center"/>
          </w:tcPr>
          <w:p w14:paraId="494D12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spacing w:val="0"/>
                <w:kern w:val="0"/>
                <w:sz w:val="24"/>
                <w:szCs w:val="24"/>
                <w:highlight w:val="none"/>
                <w:lang w:val="en-US" w:eastAsia="zh-CN"/>
              </w:rPr>
            </w:pPr>
            <w:r>
              <w:rPr>
                <w:rFonts w:hint="eastAsia" w:ascii="宋体" w:hAnsi="宋体" w:eastAsia="宋体" w:cs="宋体"/>
                <w:color w:val="000000"/>
                <w:spacing w:val="0"/>
                <w:kern w:val="0"/>
                <w:sz w:val="24"/>
                <w:szCs w:val="24"/>
                <w:highlight w:val="none"/>
              </w:rPr>
              <w:t>法人代表</w:t>
            </w:r>
            <w:r>
              <w:rPr>
                <w:rFonts w:hint="eastAsia" w:ascii="宋体" w:hAnsi="宋体" w:eastAsia="宋体" w:cs="宋体"/>
                <w:color w:val="000000"/>
                <w:spacing w:val="0"/>
                <w:kern w:val="0"/>
                <w:sz w:val="24"/>
                <w:szCs w:val="24"/>
                <w:highlight w:val="none"/>
                <w:lang w:val="en-US" w:eastAsia="zh-CN"/>
              </w:rPr>
              <w:t>或</w:t>
            </w:r>
          </w:p>
          <w:p w14:paraId="264DFD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spacing w:val="0"/>
                <w:kern w:val="0"/>
                <w:sz w:val="24"/>
                <w:szCs w:val="24"/>
                <w:highlight w:val="none"/>
                <w:vertAlign w:val="baseline"/>
              </w:rPr>
            </w:pPr>
            <w:r>
              <w:rPr>
                <w:rFonts w:hint="eastAsia" w:ascii="宋体" w:hAnsi="宋体" w:eastAsia="宋体" w:cs="宋体"/>
                <w:color w:val="000000"/>
                <w:spacing w:val="0"/>
                <w:kern w:val="0"/>
                <w:sz w:val="24"/>
                <w:szCs w:val="24"/>
                <w:highlight w:val="none"/>
                <w:lang w:val="en-US" w:eastAsia="zh-CN"/>
              </w:rPr>
              <w:t>委托代理人</w:t>
            </w:r>
            <w:r>
              <w:rPr>
                <w:rFonts w:hint="eastAsia" w:ascii="宋体" w:hAnsi="宋体" w:eastAsia="宋体" w:cs="宋体"/>
                <w:color w:val="000000"/>
                <w:spacing w:val="0"/>
                <w:kern w:val="0"/>
                <w:sz w:val="24"/>
                <w:szCs w:val="24"/>
                <w:highlight w:val="none"/>
              </w:rPr>
              <w:t xml:space="preserve">(签字)   </w:t>
            </w:r>
          </w:p>
        </w:tc>
        <w:tc>
          <w:tcPr>
            <w:tcW w:w="2500" w:type="pct"/>
            <w:tcBorders>
              <w:top w:val="nil"/>
              <w:left w:val="nil"/>
              <w:bottom w:val="nil"/>
              <w:right w:val="nil"/>
            </w:tcBorders>
            <w:noWrap w:val="0"/>
            <w:vAlign w:val="center"/>
          </w:tcPr>
          <w:p w14:paraId="066460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spacing w:val="0"/>
                <w:kern w:val="0"/>
                <w:sz w:val="24"/>
                <w:szCs w:val="24"/>
                <w:highlight w:val="none"/>
                <w:lang w:val="en-US" w:eastAsia="zh-CN"/>
              </w:rPr>
            </w:pPr>
            <w:r>
              <w:rPr>
                <w:rFonts w:hint="eastAsia" w:ascii="宋体" w:hAnsi="宋体" w:eastAsia="宋体" w:cs="宋体"/>
                <w:color w:val="000000"/>
                <w:spacing w:val="0"/>
                <w:kern w:val="0"/>
                <w:sz w:val="24"/>
                <w:szCs w:val="24"/>
                <w:highlight w:val="none"/>
              </w:rPr>
              <w:t>法人代表</w:t>
            </w:r>
            <w:r>
              <w:rPr>
                <w:rFonts w:hint="eastAsia" w:ascii="宋体" w:hAnsi="宋体" w:eastAsia="宋体" w:cs="宋体"/>
                <w:color w:val="000000"/>
                <w:spacing w:val="0"/>
                <w:kern w:val="0"/>
                <w:sz w:val="24"/>
                <w:szCs w:val="24"/>
                <w:highlight w:val="none"/>
                <w:lang w:val="en-US" w:eastAsia="zh-CN"/>
              </w:rPr>
              <w:t>或</w:t>
            </w:r>
          </w:p>
          <w:p w14:paraId="190022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spacing w:val="0"/>
                <w:kern w:val="0"/>
                <w:sz w:val="24"/>
                <w:szCs w:val="24"/>
                <w:highlight w:val="none"/>
                <w:vertAlign w:val="baseline"/>
              </w:rPr>
            </w:pPr>
            <w:r>
              <w:rPr>
                <w:rFonts w:hint="eastAsia" w:ascii="宋体" w:hAnsi="宋体" w:eastAsia="宋体" w:cs="宋体"/>
                <w:color w:val="000000"/>
                <w:spacing w:val="0"/>
                <w:kern w:val="0"/>
                <w:sz w:val="24"/>
                <w:szCs w:val="24"/>
                <w:highlight w:val="none"/>
                <w:lang w:val="en-US" w:eastAsia="zh-CN"/>
              </w:rPr>
              <w:t>委托代理人</w:t>
            </w:r>
            <w:r>
              <w:rPr>
                <w:rFonts w:hint="eastAsia" w:ascii="宋体" w:hAnsi="宋体" w:eastAsia="宋体" w:cs="宋体"/>
                <w:color w:val="000000"/>
                <w:spacing w:val="0"/>
                <w:kern w:val="0"/>
                <w:sz w:val="24"/>
                <w:szCs w:val="24"/>
                <w:highlight w:val="none"/>
              </w:rPr>
              <w:t xml:space="preserve">(签字)   </w:t>
            </w:r>
          </w:p>
        </w:tc>
      </w:tr>
      <w:tr w14:paraId="68874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500" w:type="pct"/>
            <w:tcBorders>
              <w:top w:val="nil"/>
              <w:left w:val="nil"/>
              <w:bottom w:val="nil"/>
              <w:right w:val="nil"/>
            </w:tcBorders>
            <w:noWrap w:val="0"/>
            <w:vAlign w:val="center"/>
          </w:tcPr>
          <w:p w14:paraId="12E999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spacing w:val="0"/>
                <w:kern w:val="0"/>
                <w:sz w:val="24"/>
                <w:szCs w:val="24"/>
                <w:highlight w:val="none"/>
                <w:vertAlign w:val="baseline"/>
              </w:rPr>
            </w:pPr>
            <w:r>
              <w:rPr>
                <w:rFonts w:hint="eastAsia" w:ascii="宋体" w:hAnsi="宋体" w:eastAsia="宋体" w:cs="宋体"/>
                <w:color w:val="000000"/>
                <w:spacing w:val="0"/>
                <w:kern w:val="0"/>
                <w:sz w:val="24"/>
                <w:szCs w:val="24"/>
                <w:highlight w:val="none"/>
              </w:rPr>
              <w:t>地址：</w:t>
            </w:r>
            <w:r>
              <w:rPr>
                <w:rFonts w:hint="eastAsia" w:ascii="宋体" w:hAnsi="宋体" w:eastAsia="宋体" w:cs="宋体"/>
                <w:color w:val="000000"/>
                <w:spacing w:val="0"/>
                <w:kern w:val="0"/>
                <w:sz w:val="24"/>
                <w:szCs w:val="24"/>
                <w:highlight w:val="none"/>
                <w:lang w:val="en-US" w:eastAsia="zh-CN"/>
              </w:rPr>
              <w:t xml:space="preserve"> </w:t>
            </w:r>
            <w:r>
              <w:rPr>
                <w:rFonts w:hint="eastAsia" w:ascii="宋体" w:hAnsi="宋体" w:eastAsia="宋体" w:cs="宋体"/>
                <w:color w:val="000000"/>
                <w:spacing w:val="0"/>
                <w:kern w:val="0"/>
                <w:sz w:val="24"/>
                <w:szCs w:val="24"/>
                <w:highlight w:val="none"/>
              </w:rPr>
              <w:t xml:space="preserve"> </w:t>
            </w:r>
          </w:p>
        </w:tc>
        <w:tc>
          <w:tcPr>
            <w:tcW w:w="2500" w:type="pct"/>
            <w:tcBorders>
              <w:top w:val="nil"/>
              <w:left w:val="nil"/>
              <w:bottom w:val="nil"/>
              <w:right w:val="nil"/>
            </w:tcBorders>
            <w:noWrap w:val="0"/>
            <w:vAlign w:val="center"/>
          </w:tcPr>
          <w:p w14:paraId="4EF67A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spacing w:val="0"/>
                <w:kern w:val="0"/>
                <w:sz w:val="24"/>
                <w:szCs w:val="24"/>
                <w:highlight w:val="none"/>
                <w:vertAlign w:val="baseline"/>
              </w:rPr>
            </w:pPr>
            <w:r>
              <w:rPr>
                <w:rFonts w:hint="eastAsia" w:ascii="宋体" w:hAnsi="宋体" w:eastAsia="宋体" w:cs="宋体"/>
                <w:color w:val="000000"/>
                <w:spacing w:val="0"/>
                <w:kern w:val="0"/>
                <w:sz w:val="24"/>
                <w:szCs w:val="24"/>
                <w:highlight w:val="none"/>
              </w:rPr>
              <w:t>地址：</w:t>
            </w:r>
            <w:r>
              <w:rPr>
                <w:rFonts w:hint="eastAsia" w:ascii="宋体" w:hAnsi="宋体" w:eastAsia="宋体" w:cs="宋体"/>
                <w:color w:val="000000"/>
                <w:spacing w:val="0"/>
                <w:kern w:val="0"/>
                <w:sz w:val="24"/>
                <w:szCs w:val="24"/>
                <w:highlight w:val="none"/>
                <w:lang w:val="en-US" w:eastAsia="zh-CN"/>
              </w:rPr>
              <w:t xml:space="preserve"> </w:t>
            </w:r>
            <w:r>
              <w:rPr>
                <w:rFonts w:hint="eastAsia" w:ascii="宋体" w:hAnsi="宋体" w:eastAsia="宋体" w:cs="宋体"/>
                <w:color w:val="000000"/>
                <w:spacing w:val="0"/>
                <w:kern w:val="0"/>
                <w:sz w:val="24"/>
                <w:szCs w:val="24"/>
                <w:highlight w:val="none"/>
              </w:rPr>
              <w:t xml:space="preserve"> </w:t>
            </w:r>
          </w:p>
        </w:tc>
      </w:tr>
      <w:tr w14:paraId="3F88A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500" w:type="pct"/>
            <w:tcBorders>
              <w:top w:val="nil"/>
              <w:left w:val="nil"/>
              <w:bottom w:val="nil"/>
              <w:right w:val="nil"/>
            </w:tcBorders>
            <w:noWrap w:val="0"/>
            <w:vAlign w:val="center"/>
          </w:tcPr>
          <w:p w14:paraId="421CBE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spacing w:val="0"/>
                <w:kern w:val="0"/>
                <w:sz w:val="24"/>
                <w:szCs w:val="24"/>
                <w:highlight w:val="none"/>
                <w:vertAlign w:val="baseline"/>
                <w:lang w:val="en-US" w:eastAsia="zh-CN"/>
              </w:rPr>
            </w:pPr>
            <w:r>
              <w:rPr>
                <w:rFonts w:hint="eastAsia" w:ascii="宋体" w:hAnsi="宋体" w:eastAsia="宋体" w:cs="宋体"/>
                <w:color w:val="000000"/>
                <w:spacing w:val="0"/>
                <w:kern w:val="0"/>
                <w:sz w:val="24"/>
                <w:szCs w:val="24"/>
                <w:highlight w:val="none"/>
                <w:vertAlign w:val="baseline"/>
                <w:lang w:val="en-US" w:eastAsia="zh-CN"/>
              </w:rPr>
              <w:t>电话：</w:t>
            </w:r>
          </w:p>
        </w:tc>
        <w:tc>
          <w:tcPr>
            <w:tcW w:w="2500" w:type="pct"/>
            <w:tcBorders>
              <w:top w:val="nil"/>
              <w:left w:val="nil"/>
              <w:bottom w:val="nil"/>
              <w:right w:val="nil"/>
            </w:tcBorders>
            <w:noWrap w:val="0"/>
            <w:vAlign w:val="center"/>
          </w:tcPr>
          <w:p w14:paraId="69556D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spacing w:val="0"/>
                <w:kern w:val="0"/>
                <w:sz w:val="24"/>
                <w:szCs w:val="24"/>
                <w:highlight w:val="none"/>
                <w:vertAlign w:val="baseline"/>
              </w:rPr>
            </w:pPr>
            <w:r>
              <w:rPr>
                <w:rFonts w:hint="eastAsia" w:ascii="宋体" w:hAnsi="宋体" w:eastAsia="宋体" w:cs="宋体"/>
                <w:color w:val="000000"/>
                <w:spacing w:val="0"/>
                <w:kern w:val="0"/>
                <w:sz w:val="24"/>
                <w:szCs w:val="24"/>
                <w:highlight w:val="none"/>
                <w:vertAlign w:val="baseline"/>
                <w:lang w:val="en-US" w:eastAsia="zh-CN"/>
              </w:rPr>
              <w:t>电话：</w:t>
            </w:r>
          </w:p>
        </w:tc>
      </w:tr>
      <w:tr w14:paraId="2419D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500" w:type="pct"/>
            <w:tcBorders>
              <w:top w:val="nil"/>
              <w:left w:val="nil"/>
              <w:bottom w:val="nil"/>
              <w:right w:val="nil"/>
            </w:tcBorders>
            <w:noWrap w:val="0"/>
            <w:vAlign w:val="center"/>
          </w:tcPr>
          <w:p w14:paraId="08A8AB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spacing w:val="0"/>
                <w:kern w:val="0"/>
                <w:sz w:val="24"/>
                <w:szCs w:val="24"/>
                <w:highlight w:val="none"/>
                <w:vertAlign w:val="baseline"/>
                <w:lang w:val="en-US" w:eastAsia="zh-CN"/>
              </w:rPr>
            </w:pPr>
            <w:r>
              <w:rPr>
                <w:rFonts w:hint="eastAsia" w:ascii="宋体" w:hAnsi="宋体" w:eastAsia="宋体" w:cs="宋体"/>
                <w:color w:val="000000"/>
                <w:spacing w:val="0"/>
                <w:kern w:val="0"/>
                <w:sz w:val="24"/>
                <w:szCs w:val="24"/>
                <w:highlight w:val="none"/>
                <w:vertAlign w:val="baseline"/>
                <w:lang w:val="en-US" w:eastAsia="zh-CN"/>
              </w:rPr>
              <w:t>日期：</w:t>
            </w:r>
          </w:p>
        </w:tc>
        <w:tc>
          <w:tcPr>
            <w:tcW w:w="2500" w:type="pct"/>
            <w:tcBorders>
              <w:top w:val="nil"/>
              <w:left w:val="nil"/>
              <w:bottom w:val="nil"/>
              <w:right w:val="nil"/>
            </w:tcBorders>
            <w:noWrap w:val="0"/>
            <w:vAlign w:val="center"/>
          </w:tcPr>
          <w:p w14:paraId="4A81DD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spacing w:val="0"/>
                <w:kern w:val="0"/>
                <w:sz w:val="24"/>
                <w:szCs w:val="24"/>
                <w:highlight w:val="none"/>
                <w:vertAlign w:val="baseline"/>
              </w:rPr>
            </w:pPr>
            <w:r>
              <w:rPr>
                <w:rFonts w:hint="eastAsia" w:ascii="宋体" w:hAnsi="宋体" w:eastAsia="宋体" w:cs="宋体"/>
                <w:color w:val="000000"/>
                <w:spacing w:val="0"/>
                <w:kern w:val="0"/>
                <w:sz w:val="24"/>
                <w:szCs w:val="24"/>
                <w:highlight w:val="none"/>
                <w:vertAlign w:val="baseline"/>
                <w:lang w:val="en-US" w:eastAsia="zh-CN"/>
              </w:rPr>
              <w:t>日期：</w:t>
            </w:r>
          </w:p>
        </w:tc>
      </w:tr>
    </w:tbl>
    <w:p w14:paraId="685A6D7F">
      <w:pPr>
        <w:keepNext w:val="0"/>
        <w:keepLines w:val="0"/>
        <w:pageBreakBefore w:val="0"/>
        <w:kinsoku/>
        <w:wordWrap/>
        <w:overflowPunct/>
        <w:topLinePunct/>
        <w:autoSpaceDE/>
        <w:autoSpaceDN/>
        <w:bidi w:val="0"/>
        <w:spacing w:line="360" w:lineRule="auto"/>
        <w:ind w:firstLine="422" w:firstLineChars="200"/>
        <w:textAlignment w:val="auto"/>
        <w:rPr>
          <w:rFonts w:hint="eastAsia" w:ascii="宋体" w:hAnsi="宋体" w:eastAsia="宋体" w:cs="宋体"/>
          <w:b/>
          <w:bCs/>
          <w:color w:val="000000"/>
          <w:spacing w:val="0"/>
          <w:kern w:val="0"/>
          <w:sz w:val="24"/>
          <w:szCs w:val="24"/>
          <w:highlight w:val="none"/>
        </w:rPr>
      </w:pPr>
      <w:r>
        <w:rPr>
          <w:rFonts w:hint="eastAsia" w:ascii="宋体" w:hAnsi="宋体" w:eastAsia="宋体" w:cs="宋体"/>
          <w:b/>
          <w:bCs/>
          <w:color w:val="000000"/>
          <w:spacing w:val="0"/>
          <w:kern w:val="0"/>
          <w:sz w:val="21"/>
          <w:szCs w:val="21"/>
          <w:highlight w:val="none"/>
        </w:rPr>
        <w:t>注：上述合同仅作为参考文本，合同签订时双方可根据项目的具体要求进行修订，实质性内容不得违背</w:t>
      </w:r>
      <w:r>
        <w:rPr>
          <w:rFonts w:hint="eastAsia" w:ascii="宋体" w:hAnsi="宋体" w:eastAsia="宋体" w:cs="宋体"/>
          <w:b/>
          <w:bCs/>
          <w:color w:val="000000"/>
          <w:spacing w:val="0"/>
          <w:kern w:val="0"/>
          <w:sz w:val="21"/>
          <w:szCs w:val="21"/>
          <w:highlight w:val="none"/>
          <w:lang w:val="en-US" w:eastAsia="zh-CN"/>
        </w:rPr>
        <w:t>磋商</w:t>
      </w:r>
      <w:r>
        <w:rPr>
          <w:rFonts w:hint="eastAsia" w:ascii="宋体" w:hAnsi="宋体" w:eastAsia="宋体" w:cs="宋体"/>
          <w:b/>
          <w:bCs/>
          <w:color w:val="000000"/>
          <w:spacing w:val="0"/>
          <w:kern w:val="0"/>
          <w:sz w:val="21"/>
          <w:szCs w:val="21"/>
          <w:highlight w:val="none"/>
        </w:rPr>
        <w:t>文件的条款</w:t>
      </w:r>
      <w:r>
        <w:rPr>
          <w:rFonts w:hint="eastAsia" w:ascii="宋体" w:hAnsi="宋体" w:eastAsia="宋体" w:cs="宋体"/>
          <w:b/>
          <w:bCs/>
          <w:color w:val="000000"/>
          <w:spacing w:val="0"/>
          <w:kern w:val="0"/>
          <w:sz w:val="24"/>
          <w:szCs w:val="24"/>
          <w:highlight w:val="none"/>
        </w:rPr>
        <w:t>。</w:t>
      </w:r>
    </w:p>
    <w:p w14:paraId="1988B53A">
      <w:pPr>
        <w:pStyle w:val="3"/>
        <w:spacing w:line="400" w:lineRule="exact"/>
        <w:ind w:firstLine="0" w:firstLineChars="0"/>
        <w:jc w:val="left"/>
        <w:rPr>
          <w:rFonts w:hint="eastAsia" w:ascii="华文仿宋" w:hAnsi="华文仿宋" w:cs="华文仿宋"/>
          <w:b/>
          <w:bCs/>
          <w:sz w:val="28"/>
          <w:szCs w:val="28"/>
        </w:rPr>
      </w:pPr>
    </w:p>
    <w:p w14:paraId="2DF7B222">
      <w:pPr>
        <w:pStyle w:val="3"/>
        <w:spacing w:line="400" w:lineRule="exact"/>
        <w:ind w:firstLine="0" w:firstLineChars="0"/>
        <w:jc w:val="left"/>
        <w:rPr>
          <w:rFonts w:hint="eastAsia" w:ascii="华文仿宋" w:hAnsi="华文仿宋" w:cs="华文仿宋"/>
          <w:b/>
          <w:bCs/>
          <w:sz w:val="28"/>
          <w:szCs w:val="28"/>
        </w:rPr>
      </w:pPr>
    </w:p>
    <w:p w14:paraId="4E0771AB">
      <w:pPr>
        <w:pStyle w:val="3"/>
        <w:spacing w:line="400" w:lineRule="exact"/>
        <w:ind w:firstLine="0" w:firstLineChars="0"/>
        <w:jc w:val="left"/>
        <w:rPr>
          <w:rFonts w:hint="eastAsia" w:ascii="华文仿宋" w:hAnsi="华文仿宋" w:cs="华文仿宋"/>
          <w:b/>
          <w:bCs/>
          <w:sz w:val="28"/>
          <w:szCs w:val="28"/>
        </w:rPr>
      </w:pPr>
    </w:p>
    <w:p w14:paraId="16B7D17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roman"/>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C3097">
    <w:pPr>
      <w:pStyle w:val="10"/>
      <w:tabs>
        <w:tab w:val="clear" w:pos="4153"/>
        <w:tab w:val="clear" w:pos="8306"/>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53F821A">
                          <w:pPr>
                            <w:pStyle w:val="4"/>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653F821A">
                    <w:pPr>
                      <w:pStyle w:val="4"/>
                    </w:pPr>
                    <w:r>
                      <w:fldChar w:fldCharType="begin"/>
                    </w:r>
                    <w:r>
                      <w:instrText xml:space="preserve"> PAGE  \* MERGEFORMAT </w:instrText>
                    </w:r>
                    <w:r>
                      <w:fldChar w:fldCharType="separate"/>
                    </w:r>
                    <w:r>
                      <w:t>58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kYmJlYWU5YjE0ZTM0ZTE0OWNjOGZkNzNiNjQwNWUifQ=="/>
  </w:docVars>
  <w:rsids>
    <w:rsidRoot w:val="45FB0D50"/>
    <w:rsid w:val="1BB306CB"/>
    <w:rsid w:val="45FB0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eastAsia="Arial" w:cs="Arial"/>
      <w:sz w:val="21"/>
      <w:szCs w:val="21"/>
      <w:lang w:val="en-US" w:eastAsia="en-US" w:bidi="ar-SA"/>
    </w:rPr>
  </w:style>
  <w:style w:type="paragraph" w:styleId="3">
    <w:name w:val="Body Text First Indent"/>
    <w:basedOn w:val="2"/>
    <w:next w:val="2"/>
    <w:qFormat/>
    <w:uiPriority w:val="99"/>
    <w:pPr>
      <w:adjustRightInd/>
      <w:snapToGrid/>
      <w:spacing w:after="200"/>
      <w:ind w:firstLine="420" w:firstLineChars="100"/>
      <w:jc w:val="both"/>
    </w:pPr>
    <w:rPr>
      <w:rFonts w:ascii="Times New Roman" w:hAnsi="Times New Roman" w:eastAsia="华文仿宋"/>
      <w:kern w:val="2"/>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table" w:styleId="6">
    <w:name w:val="Table Grid"/>
    <w:basedOn w:val="5"/>
    <w:qFormat/>
    <w:uiPriority w:val="59"/>
    <w:pPr>
      <w:widowControl w:val="0"/>
      <w:spacing w:line="360" w:lineRule="auto"/>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标题 1 字符"/>
    <w:link w:val="9"/>
    <w:qFormat/>
    <w:uiPriority w:val="0"/>
    <w:rPr>
      <w:rFonts w:hint="eastAsia" w:ascii="宋体" w:hAnsi="宋体"/>
      <w:b/>
      <w:bCs/>
      <w:kern w:val="44"/>
      <w:sz w:val="48"/>
      <w:szCs w:val="48"/>
    </w:rPr>
  </w:style>
  <w:style w:type="paragraph" w:customStyle="1" w:styleId="9">
    <w:name w:val="标题 11"/>
    <w:basedOn w:val="1"/>
    <w:link w:val="8"/>
    <w:qFormat/>
    <w:uiPriority w:val="0"/>
    <w:pPr>
      <w:spacing w:beforeAutospacing="1" w:afterAutospacing="1"/>
      <w:jc w:val="left"/>
      <w:outlineLvl w:val="0"/>
    </w:pPr>
    <w:rPr>
      <w:rFonts w:hint="eastAsia" w:ascii="宋体" w:hAnsi="宋体"/>
      <w:b/>
      <w:bCs/>
      <w:kern w:val="44"/>
      <w:sz w:val="48"/>
      <w:szCs w:val="48"/>
    </w:rPr>
  </w:style>
  <w:style w:type="paragraph" w:customStyle="1" w:styleId="10">
    <w:name w:val="页脚1"/>
    <w:basedOn w:val="1"/>
    <w:qFormat/>
    <w:uiPriority w:val="0"/>
    <w:pPr>
      <w:tabs>
        <w:tab w:val="center" w:pos="4153"/>
        <w:tab w:val="right" w:pos="8306"/>
      </w:tabs>
      <w:spacing w:line="240" w:lineRule="atLeast"/>
      <w:jc w:val="left"/>
    </w:pPr>
    <w:rPr>
      <w:kern w:val="0"/>
      <w:sz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2105</Words>
  <Characters>2113</Characters>
  <Lines>0</Lines>
  <Paragraphs>0</Paragraphs>
  <TotalTime>0</TotalTime>
  <ScaleCrop>false</ScaleCrop>
  <LinksUpToDate>false</LinksUpToDate>
  <CharactersWithSpaces>2708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2026-04-30T09:07:00Z</dcterms:created>
  <dc:creator>半个爷们儿。</dc:creator>
  <cp:lastModifiedBy>Administrator</cp:lastModifiedBy>
  <dcterms:modified xsi:type="dcterms:W3CDTF">2026-06-04T07:23:25Z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83FB807CB4C54AE5ADA43EF5F7756322_11</vt:lpwstr>
  </property>
  <property fmtid="{D5CDD505-2E9C-101B-9397-08002B2CF9AE}" pid="4" name="KSOTemplateDocerSaveRecord">
    <vt:lpwstr>eyJoZGlkIjoiOWUwOWY1OThjOTBmY2I1M2U5OGEyOWE4OWU3MTI0MDIiLCJ1c2VySWQiOiIyNjgwMDUyNjAifQ==</vt:lpwstr>
  </property>
</Properties>
</file>