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版本号：ZB2026-ZB029（CGP）20260819004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西安市临潼区2026年小麦“一喷三防”应急药剂与叶面肥采购项目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ZB2026-ZB029（CGP）</w:t>
      </w:r>
      <w:r>
        <w:br/>
      </w:r>
      <w:r>
        <w:br/>
      </w:r>
      <w:r>
        <w:br/>
      </w:r>
    </w:p>
    <w:p>
      <w:pPr>
        <w:pStyle w:val="null3"/>
        <w:jc w:val="center"/>
        <w:outlineLvl w:val="2"/>
      </w:pPr>
      <w:r>
        <w:rPr>
          <w:rFonts w:ascii="仿宋_GB2312" w:hAnsi="仿宋_GB2312" w:cs="仿宋_GB2312" w:eastAsia="仿宋_GB2312"/>
          <w:sz w:val="28"/>
          <w:b/>
        </w:rPr>
        <w:t>西安市临潼区农技推广服务中心</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西安市临潼区农技推广服务中心</w:t>
      </w:r>
      <w:r>
        <w:rPr>
          <w:rFonts w:ascii="仿宋_GB2312" w:hAnsi="仿宋_GB2312" w:cs="仿宋_GB2312" w:eastAsia="仿宋_GB2312"/>
        </w:rPr>
        <w:t>委托，拟对</w:t>
      </w:r>
      <w:r>
        <w:rPr>
          <w:rFonts w:ascii="仿宋_GB2312" w:hAnsi="仿宋_GB2312" w:cs="仿宋_GB2312" w:eastAsia="仿宋_GB2312"/>
        </w:rPr>
        <w:t>西安市临潼区2026年小麦“一喷三防”应急药剂与叶面肥采购项目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ZB2026-ZB029（CGP）</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西安市临潼区2026年小麦“一喷三防”应急药剂与叶面肥采购项目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应急药剂采购。综合临潼区小麦病虫害发生情况、灾害危害程度，采购一批以防治小麦赤霉病为主的应急杀菌剂(丙硫菌唑·戊唑醇等)，组织引导种粮主体和群众适时对病虫害重发田、常发田开展“一喷三防”工作，基础保障面积23.5万亩。 2、叶面肥采购。结合小麦生产实际情况，采购以促进小麦灌浆增粒重为主的叶面肥(磷酸二氢钾、氨基酸水溶肥、芸苔素内酯等)一批，在小麦生长后期进行喷施，促进养分转化，增加千粒重，提质增产，基础保障面积24万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采购包1（西安市临潼区2026年小麦“一喷三防”应急药剂与叶面肥采购项目）：属于专门面向中小企业采购。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农药产品要求：供应商为生产厂家的，须提供农药“三证”（分别是《农药登记证》、《农药生产许可证或农药生产批准文件》、《产品执行标准》）；供应商为经销商的还须同时提供《农药经营许可证》及生产厂家企业授权证明文件</w:t>
      </w:r>
    </w:p>
    <w:p>
      <w:pPr>
        <w:pStyle w:val="null3"/>
      </w:pPr>
      <w:r>
        <w:rPr>
          <w:rFonts w:ascii="仿宋_GB2312" w:hAnsi="仿宋_GB2312" w:cs="仿宋_GB2312" w:eastAsia="仿宋_GB2312"/>
        </w:rPr>
        <w:t>2、叶面肥产品要求：供应商为生产厂家的，依法应当登记的肥料须提供肥料登记证或备案证明（国家另有规定的除外）；供应商为经销商的还须同时提供生产厂家企业授权证明文件</w:t>
      </w:r>
    </w:p>
    <w:p>
      <w:pPr>
        <w:pStyle w:val="null3"/>
      </w:pPr>
      <w:r>
        <w:rPr>
          <w:rFonts w:ascii="仿宋_GB2312" w:hAnsi="仿宋_GB2312" w:cs="仿宋_GB2312" w:eastAsia="仿宋_GB2312"/>
        </w:rPr>
        <w:t>3、法定代表人身份证明或法定代表人授权委托书：法定代表人身份证明或法定代表人授权委托书，后附法定代表人及被委托人身份证（法定代表人直接参加投标的只须提供法定代表人身份证）</w:t>
      </w:r>
    </w:p>
    <w:p>
      <w:pPr>
        <w:pStyle w:val="null3"/>
      </w:pPr>
      <w:r>
        <w:rPr>
          <w:rFonts w:ascii="仿宋_GB2312" w:hAnsi="仿宋_GB2312" w:cs="仿宋_GB2312" w:eastAsia="仿宋_GB2312"/>
        </w:rPr>
        <w:t>4、供应商信誉要求：供应商需以书⾯形式提供规定格式的《基本资格条件承诺函》，并对承诺内容的真实性负责。未提供《基本资格条件承诺函》的，须提供以下⽹站查询结果截图，供应商不得为“信⽤中国”网站（www.creditchina.gov.cn）列⼊的失信被执⾏⼈（中国执⾏信息公开⽹http://zxgk.court.gov.cn）、重⼤税收违法失信主体，不得为中国政府采购⽹（www.ccgp.gov.cn）政府采购严重违法失信⾏为记录名单中被财政部门禁止参加政府采购活动的供应商</w:t>
      </w:r>
    </w:p>
    <w:p>
      <w:pPr>
        <w:pStyle w:val="null3"/>
      </w:pPr>
      <w:r>
        <w:rPr>
          <w:rFonts w:ascii="仿宋_GB2312" w:hAnsi="仿宋_GB2312" w:cs="仿宋_GB2312" w:eastAsia="仿宋_GB2312"/>
        </w:rPr>
        <w:t>5、供应商关联关系承诺书：单位负责⼈为同⼀⼈或者存在直接控股、管理关系的不同供应商，不得参加同⼀合同项下的投标活动。</w:t>
      </w:r>
    </w:p>
    <w:p>
      <w:pPr>
        <w:pStyle w:val="null3"/>
      </w:pPr>
      <w:r>
        <w:rPr>
          <w:rFonts w:ascii="仿宋_GB2312" w:hAnsi="仿宋_GB2312" w:cs="仿宋_GB2312" w:eastAsia="仿宋_GB2312"/>
        </w:rPr>
        <w:t>6、非联合体投标声明：本项目不接受联合体投标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西安市临潼区农技推广服务中心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赵凯旋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13809193699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马瑾瑜、魏东红、王波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代理服务费收费标准：中标供应商领取中标通知书时，代理服务费参照计价格【2002】1980号及发改价格【2011】534号文件规定标准计算，向“西安梓搏咨询管理有限公司”交纳。户 名：西安梓搏咨询管理有限公司 开户行：工商银行西安临潼区支行 账 号：3700 1733 092 0000 1856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西安市临潼区农技推广服务中心</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西安市临潼区农技推广服务中心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西安市临潼区农技推广服务中心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本项目供货全过程须符合国家、地方、行业现行规范标准及采购文件相关要求，达到质量合格标准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联系人：马瑾瑜、魏东红、王波</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应急药剂采购。综合临潼区小麦病虫害发生情况、灾害危害程度，采购一批以防治小麦赤霉病为主的应急杀菌剂(丙硫菌唑·戊唑醇等)，组织引导种粮主体和群众适时对病虫害重发田、常发田开展“一喷三防”工作，基础保障面积23.5万亩。 2、叶面肥采购。结合小麦生产实际情况，采购以促进小麦灌浆增粒重为主的叶面肥(磷酸二氢钾、氨基酸水溶肥、芸苔素内酯等)一批，在小麦生长后期进行喷施，促进养分转化，增加千粒重，提质增产，基础保障面积24万亩。</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西安市临潼区2026年小麦“一喷三防”应急药剂与叶面肥采购项目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标的名称：西安市临潼区2026年小麦“一喷三防”应急药剂与叶面肥采购项目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采购内容：1、应急药剂采购：采购一批以小麦赤霉病为主的应急防治杀菌剂暂定为7065公斤。杀菌剂及亩用量：40%丙硫菌唑·戊唑醇悬浮剂，30毫升/亩。所供应农药最大包装不大于200克/瓶。最终结算金额以实际供货公斤数量为准，按中标综合单价据实结算。2、叶面肥采购：采购以促进小麦灌浆增粒重为主的叶面肥暂定为19298公斤。叶面肥：98%膨化闪溶磷酸二氢钾。所供应叶面肥最大包装不大于500克/袋。最终结算金额以实际供货公斤数量为准，按中标综合单价据实结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color w:val="000000"/>
              </w:rPr>
              <w:t>技术要求：供应商所供应应急药剂和叶面肥应出具相关质量检测报告，生产日期为2026年1月及以后，各项指标符合国家相关标准及采购需求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供货期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供货</w:t>
            </w:r>
            <w:r>
              <w:rPr>
                <w:rFonts w:ascii="仿宋_GB2312" w:hAnsi="仿宋_GB2312" w:cs="仿宋_GB2312" w:eastAsia="仿宋_GB2312"/>
                <w:sz w:val="24"/>
                <w:color w:val="000000"/>
              </w:rPr>
              <w:t>地点：采购人指定地点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质量验收标准或规范：本项目供货全过程须符合国家、地方、行业现行规范标准及采购文件相关要求，达到质量合格标准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4"/>
                <w:color w:val="000000"/>
              </w:rPr>
              <w:t>服务要求：1、供货服务：供应商须严格按照采购要求及合同约定时限组织货源、完成供货，保证供货及时、足量、保质，满足田间应急防控窗口期使用需求；根据采购人实际使用需求，积极配合分批供货、紧急补供，保障物资随用随供、不断供。2、资料要求：供货时须同步随车提供完整合规的产品资料，包含产品合格证、质量检测报告、农药登记证、肥料登记证等全套佐证资料，做到一物一档、资料齐全、真实可溯，配合采购人完成进场验收、台账归档、备查上报工作。3、质量售后：合同履约及产品质保期内，凡因产品质量、出厂资质、规格不符等供货原因产生的一切问题，供应商须无条件免费更换、补货、整改，承担全部责任及相关费用；严禁供应过期、临期、不合格、资质不全产品。4、合规履约：供应商须严格遵守相关法律法规，规范供货流程、规范台账管理，积极配合采购人开展抽检、核查、验收、督导等各项工作，全程无条件落实各项整改及配合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产品质保期：应急药剂质保期为</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叶面肥质保期为</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r>
              <w:rPr>
                <w:rFonts w:ascii="仿宋_GB2312" w:hAnsi="仿宋_GB2312" w:cs="仿宋_GB2312" w:eastAsia="仿宋_GB2312"/>
                <w:sz w:val="24"/>
                <w:color w:val="000000"/>
              </w:rPr>
              <w:t>质保期自货物完成验收合格之日起开始计算</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4"/>
                <w:color w:val="000000"/>
              </w:rPr>
              <w:t>本项目采购预算为人民币1200000.00元，其中：应急药剂</w:t>
            </w:r>
            <w:r>
              <w:rPr>
                <w:rFonts w:ascii="仿宋_GB2312" w:hAnsi="仿宋_GB2312" w:cs="仿宋_GB2312" w:eastAsia="仿宋_GB2312"/>
                <w:sz w:val="24"/>
                <w:color w:val="000000"/>
              </w:rPr>
              <w:t>采购预算</w:t>
            </w:r>
            <w:r>
              <w:rPr>
                <w:rFonts w:ascii="仿宋_GB2312" w:hAnsi="仿宋_GB2312" w:cs="仿宋_GB2312" w:eastAsia="仿宋_GB2312"/>
                <w:sz w:val="24"/>
                <w:color w:val="000000"/>
              </w:rPr>
              <w:t>650000.00元；叶面肥</w:t>
            </w:r>
            <w:r>
              <w:rPr>
                <w:rFonts w:ascii="仿宋_GB2312" w:hAnsi="仿宋_GB2312" w:cs="仿宋_GB2312" w:eastAsia="仿宋_GB2312"/>
                <w:sz w:val="24"/>
                <w:color w:val="000000"/>
              </w:rPr>
              <w:t>采购预算</w:t>
            </w:r>
            <w:r>
              <w:rPr>
                <w:rFonts w:ascii="仿宋_GB2312" w:hAnsi="仿宋_GB2312" w:cs="仿宋_GB2312" w:eastAsia="仿宋_GB2312"/>
                <w:sz w:val="24"/>
                <w:color w:val="000000"/>
              </w:rPr>
              <w:t>550000.00元。本项目单价最高限价为人民币120.50元/公斤。其中：应急药剂单价最高限价92.00元/公斤；叶面肥单价最高限价28.50元/公斤。投标单价报价不得高于项目单价最高限价，且单项投标总价不得高于对应分项采购预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进度款，全部物资供货到位后，达到付款条件起5个工作日内，支付合同总金额的60.0%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进度款，物资验收合格、资料全部移交完成且专项资金到位后，达到付款条件起5个工作日内，支付合同总金额的10.0%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本项目供货全过程须符合国家、地方、行业现行规范标准及采购文件相关要求，达到质量合格标准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1、包装：货物包装应采取防潮、防晒、防腐蚀、防震动及防磕碰损坏的防护措施。成交人承担因包装或防护措施不当而造成货物损坏和丢失产生的损失及费用。 2、运输：选择运输风险小、运费低、距离短的运输路线。运杂费一次包死在总价内，包括出场到交货地点所需的装卸、运输（含保险费）、现场保管费、二次倒运费等费用。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依据《中华人民共和国民法典》、《中华人民共和国政府采购法》的相关条款和合同约定，在合同执行中发生争议的，当事人双方应协商解决，协商达不成一致时，可向人民法院提起诉讼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（1）本项目采购标的所属行业为：工业。 （2）本项目专门面向中小企业采购。根据《工业和信息化部 国家统计局 国家发展和改革委员会 财政部关于印发中小企业划型标准规定的通知》（工信部联企业〔2011〕300 号）工业划型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4）供应商需要在线提交所有通过电子化交易平台实施的政府采购项目的响应文件，同时，线下递交纸质响应文件，正本壹份、副本壹份，电子文件壹份（U盘存储，内容包括与系统上传后导出完全一致的PDF版响应文件）。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提供基本资格条件承诺函或参加政府采购活动前三年内，在经营活动中没有重大违法记录的书面声明；（4）提供基本资格条件承诺函或履行合同所必需的设备和专业技术能力的承诺书。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供应商资格证明资料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2025年经审计的完整财务审计报告（成立时间至开标时间不足一年的，可提供成立后任意时段的资产负债表）；③投标截止时间前六个月内其基本账户银行出具的资信证明及基本账户银行相关证明资料；④可提供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供应商资格证明资料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农药产品要求</w:t>
            </w:r>
          </w:p>
        </w:tc>
        <w:tc>
          <w:tcPr>
            <w:tcW w:type="dxa" w:w="3322"/>
          </w:tcPr>
          <w:p>
            <w:pPr>
              <w:pStyle w:val="null3"/>
            </w:pPr>
            <w:r>
              <w:rPr>
                <w:rFonts w:ascii="仿宋_GB2312" w:hAnsi="仿宋_GB2312" w:cs="仿宋_GB2312" w:eastAsia="仿宋_GB2312"/>
              </w:rPr>
              <w:t>供应商为生产厂家的，须提供农药“三证”（分别是《农药登记证》、《农药生产许可证或农药生产批准文件》、《产品执行标准》）；供应商为经销商的还须同时提供《农药经营许可证》及生产厂家企业授权证明文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叶面肥产品要求</w:t>
            </w:r>
          </w:p>
        </w:tc>
        <w:tc>
          <w:tcPr>
            <w:tcW w:type="dxa" w:w="3322"/>
          </w:tcPr>
          <w:p>
            <w:pPr>
              <w:pStyle w:val="null3"/>
            </w:pPr>
            <w:r>
              <w:rPr>
                <w:rFonts w:ascii="仿宋_GB2312" w:hAnsi="仿宋_GB2312" w:cs="仿宋_GB2312" w:eastAsia="仿宋_GB2312"/>
              </w:rPr>
              <w:t>供应商为生产厂家的，依法应当登记的肥料须提供肥料登记证或备案证明（国家另有规定的除外）；供应商为经销商的还须同时提供生产厂家企业授权证明文件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法定代表人身份证明或法定代表人授权委托书，后附法定代表人及被委托人身份证（法定代表人直接参加投标的只须提供法定代表人身份证）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形式提供规定格式的《基本资格条件承诺函》，并对承诺内容的真实性负责。未提供《基本资格条件承诺函》的，须提供以下⽹站查询结果截图，供应商不得为“信⽤中国”网站（www.creditchina.gov.cn）列⼊的失信被执⾏⼈（中国执⾏信息公开⽹http://zxgk.court.gov.cn）、重⼤税收违法失信主体，不得为中国政府采购⽹（www.ccgp.gov.cn）政府采购严重违法失信⾏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单位负责⼈为同⼀⼈或者存在直接控股、管理关系的不同供应商，不得参加同⼀合同项下的投标活动。</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满足招标文件要求，项目投标单价报价不得高于项目单价最高限价，且单项投标单价报价不得高于对应单项单价最高限价。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供应商资格证明资料 分项报价表 中小企业声明函 商务应答表 供应商其它资料 产品技术参数表 投标函 残疾人福利性单位声明函 供货总体方案 标的清单 投标文件封面 供应商类似项目业绩一览表 供应商承诺书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供应商针对本项目编制完整的供货方案，内容包含：①供货计划及进度安排；②产品配送组织方案（含运输方式、路线规划、到货验收流程）；③项目人员安排计划（含拟投入本项目的人员安排、人员分工、岗位职责、责任制度）； ④备货、供货进度及保证措施。 二、赋分标准（10分）：每满足一项评审内容得2.5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一、评审内容：供应商针对本项目编制完整的质量保证措施，内容包含：①产品质量保障体系；②过程管控措施；③质量保证承诺。 二、赋分标准（6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安全保障及应急保障措施</w:t>
            </w:r>
          </w:p>
        </w:tc>
        <w:tc>
          <w:tcPr>
            <w:tcW w:type="dxa" w:w="2492"/>
          </w:tcPr>
          <w:p>
            <w:pPr>
              <w:pStyle w:val="null3"/>
            </w:pPr>
            <w:r>
              <w:rPr>
                <w:rFonts w:ascii="仿宋_GB2312" w:hAnsi="仿宋_GB2312" w:cs="仿宋_GB2312" w:eastAsia="仿宋_GB2312"/>
              </w:rPr>
              <w:t>一、评审内容：供应商针对本项目编制完整的安全保障及应急保障措施，内容包含：①供货期的药品安全保障措施；②供货期的人员安全保障措施；③供货过程中突发问题的应急处置预案及响应时间。 二、赋分标准（6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一、评审内容：供应商针对本项目编制完整的培训方案，内容包含：①培训目标、培训内容与实施计划；②培训组织安排（含培训方式、培训人员、培训地点，保障使用人群熟练掌握本产品使用剂量和方法）。 二、赋分标准（4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供应商针对本项目编制完整的履约能力，内容包含：①严格按照国家及行业标准供货；②配合采购人开展验收、资料移交，及时响应技术咨询及协助需求；③物资保障条件（仓储设施保障、运输工具保障）；④综合履约实力（管理水平、资金筹措能力、人员素质保障）。 二、赋分标准（8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一、评审内容：供应商针对本项目编制完整的售后服务，内容包含：①售后服务网点设置规划；②拟投入售后服务人员配置；③问题响应时限及问题处置措施；④质量保证范围、定期回访及维护机制。 二、赋分标准（8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供应商投标产品技术参数响应招标文件要求，提供对应产品彩页、产品使用说明书和外包装实拍照片佐证材料；农药、叶面肥每提供一类有效佐证材料得2分，满分4分。未提供不得分。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产品质量与检测报告</w:t>
            </w:r>
          </w:p>
        </w:tc>
        <w:tc>
          <w:tcPr>
            <w:tcW w:type="dxa" w:w="2492"/>
          </w:tcPr>
          <w:p>
            <w:pPr>
              <w:pStyle w:val="null3"/>
            </w:pPr>
            <w:r>
              <w:rPr>
                <w:rFonts w:ascii="仿宋_GB2312" w:hAnsi="仿宋_GB2312" w:cs="仿宋_GB2312" w:eastAsia="仿宋_GB2312"/>
              </w:rPr>
              <w:t>①投标农药产品提供第三方机构出具的有效检测报告得2分，最高2分；②投标叶面肥产品提供第三方机构出具的有效检测报告得2分，最高2分。未提供不得分。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产品渠道与来源证明</w:t>
            </w:r>
          </w:p>
        </w:tc>
        <w:tc>
          <w:tcPr>
            <w:tcW w:type="dxa" w:w="2492"/>
          </w:tcPr>
          <w:p>
            <w:pPr>
              <w:pStyle w:val="null3"/>
            </w:pPr>
            <w:r>
              <w:rPr>
                <w:rFonts w:ascii="仿宋_GB2312" w:hAnsi="仿宋_GB2312" w:cs="仿宋_GB2312" w:eastAsia="仿宋_GB2312"/>
              </w:rPr>
              <w:t>提供投标产品合法来源证明材料：外购产品须提供进货合同、销售协议、采购票据等有效来源证明；自产自销产品须提供自产自销声明函即可（免于登记叶面肥无需提供登记证书）。农药、叶面肥每提供一类产品有效来源证明得4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供货总体方案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供应商提供2023年6月1日至今类似项目业绩，每提供一个得3分，满分12分（业绩认定以中标通知书或合同签订时间为准，须提供合同协议书或中标通知书）。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采用低价优先法计算，即满足磋商文件要求且投标单价价格最低的投标单价报价为评审基准价，其价格分为满分30分。 投标单价报价得分＝（评审基准价/投标单价报价）×30 评委会三分之二以上专家认为某投标单价报价有低于成本价嫌疑的，为无效投标单价报价。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详见附件：供货总体方案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详见附件：供应商其它资料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