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4F23C">
      <w:pPr>
        <w:ind w:firstLine="420" w:firstLineChars="200"/>
        <w:rPr>
          <w:rFonts w:hint="eastAsia" w:ascii="宋体" w:hAnsi="宋体" w:eastAsia="宋体" w:cs="宋体"/>
          <w:color w:val="auto"/>
          <w:highlight w:val="none"/>
        </w:rPr>
      </w:pPr>
    </w:p>
    <w:p w14:paraId="0C8D6E86">
      <w:pPr>
        <w:pStyle w:val="2"/>
        <w:rPr>
          <w:rFonts w:hint="eastAsia"/>
        </w:rPr>
      </w:pPr>
    </w:p>
    <w:p w14:paraId="4E26AB92">
      <w:pPr>
        <w:widowControl/>
        <w:snapToGrid w:val="0"/>
        <w:ind w:firstLine="1265"/>
        <w:jc w:val="center"/>
        <w:textAlignment w:val="baseline"/>
        <w:rPr>
          <w:rFonts w:ascii="宋体" w:hAnsi="宋体" w:eastAsia="宋体" w:cs="宋体"/>
          <w:b/>
          <w:bCs/>
          <w:sz w:val="36"/>
          <w:szCs w:val="36"/>
        </w:rPr>
      </w:pPr>
    </w:p>
    <w:p w14:paraId="076C6FD0">
      <w:pPr>
        <w:widowControl/>
        <w:snapToGrid w:val="0"/>
        <w:ind w:firstLine="1265"/>
        <w:jc w:val="center"/>
        <w:textAlignment w:val="baseline"/>
        <w:rPr>
          <w:rFonts w:ascii="宋体" w:hAnsi="宋体" w:eastAsia="宋体" w:cs="宋体"/>
          <w:b/>
          <w:bCs/>
          <w:sz w:val="36"/>
          <w:szCs w:val="36"/>
        </w:rPr>
      </w:pPr>
    </w:p>
    <w:p w14:paraId="6FEFD69E">
      <w:pPr>
        <w:widowControl/>
        <w:snapToGrid w:val="0"/>
        <w:jc w:val="center"/>
        <w:textAlignment w:val="baseline"/>
        <w:rPr>
          <w:rFonts w:hint="eastAsia" w:ascii="宋体" w:hAnsi="宋体" w:eastAsia="宋体" w:cs="宋体"/>
          <w:b/>
          <w:bCs/>
          <w:sz w:val="160"/>
          <w:szCs w:val="160"/>
          <w:u w:val="single"/>
          <w:lang w:eastAsia="zh-CN"/>
        </w:rPr>
      </w:pPr>
      <w:r>
        <w:rPr>
          <w:rFonts w:hint="eastAsia" w:ascii="宋体" w:hAnsi="宋体" w:eastAsia="宋体" w:cs="宋体"/>
          <w:b/>
          <w:bCs/>
          <w:sz w:val="56"/>
          <w:szCs w:val="56"/>
          <w:u w:val="single"/>
          <w:lang w:eastAsia="zh-CN"/>
        </w:rPr>
        <w:t>（</w:t>
      </w:r>
      <w:r>
        <w:rPr>
          <w:rFonts w:hint="eastAsia" w:ascii="宋体" w:hAnsi="宋体" w:eastAsia="宋体" w:cs="宋体"/>
          <w:b/>
          <w:bCs/>
          <w:sz w:val="56"/>
          <w:szCs w:val="56"/>
          <w:u w:val="single"/>
          <w:lang w:val="en-US" w:eastAsia="zh-CN"/>
        </w:rPr>
        <w:t>项目名称</w:t>
      </w:r>
      <w:r>
        <w:rPr>
          <w:rFonts w:hint="eastAsia" w:ascii="宋体" w:hAnsi="宋体" w:eastAsia="宋体" w:cs="宋体"/>
          <w:b/>
          <w:bCs/>
          <w:sz w:val="56"/>
          <w:szCs w:val="56"/>
          <w:u w:val="single"/>
          <w:lang w:eastAsia="zh-CN"/>
        </w:rPr>
        <w:t>）</w:t>
      </w:r>
    </w:p>
    <w:p w14:paraId="25398C12">
      <w:pPr>
        <w:widowControl/>
        <w:snapToGrid w:val="0"/>
        <w:ind w:firstLine="1827"/>
        <w:jc w:val="center"/>
        <w:textAlignment w:val="baseline"/>
        <w:rPr>
          <w:rFonts w:ascii="宋体" w:hAnsi="宋体" w:eastAsia="宋体" w:cs="宋体"/>
          <w:b/>
          <w:bCs/>
          <w:sz w:val="52"/>
          <w:szCs w:val="52"/>
        </w:rPr>
      </w:pPr>
    </w:p>
    <w:p w14:paraId="713B6226">
      <w:pPr>
        <w:widowControl/>
        <w:snapToGrid w:val="0"/>
        <w:ind w:firstLine="1827"/>
        <w:jc w:val="center"/>
        <w:textAlignment w:val="baseline"/>
        <w:rPr>
          <w:rFonts w:ascii="宋体" w:hAnsi="宋体" w:eastAsia="宋体" w:cs="宋体"/>
          <w:b/>
          <w:bCs/>
          <w:sz w:val="52"/>
          <w:szCs w:val="52"/>
        </w:rPr>
      </w:pPr>
    </w:p>
    <w:p w14:paraId="7E91F2AB">
      <w:pPr>
        <w:widowControl/>
        <w:snapToGrid w:val="0"/>
        <w:ind w:firstLine="1827"/>
        <w:jc w:val="center"/>
        <w:textAlignment w:val="baseline"/>
        <w:rPr>
          <w:rFonts w:ascii="宋体" w:hAnsi="宋体" w:eastAsia="宋体" w:cs="宋体"/>
          <w:b/>
          <w:bCs/>
          <w:sz w:val="52"/>
          <w:szCs w:val="52"/>
        </w:rPr>
      </w:pPr>
    </w:p>
    <w:p w14:paraId="1473F1A9">
      <w:pPr>
        <w:widowControl/>
        <w:snapToGrid w:val="0"/>
        <w:ind w:firstLine="1827"/>
        <w:jc w:val="center"/>
        <w:textAlignment w:val="baseline"/>
        <w:rPr>
          <w:rFonts w:ascii="宋体" w:hAnsi="宋体" w:eastAsia="宋体" w:cs="宋体"/>
          <w:b/>
          <w:bCs/>
          <w:sz w:val="52"/>
          <w:szCs w:val="52"/>
        </w:rPr>
      </w:pPr>
    </w:p>
    <w:p w14:paraId="16CAA798">
      <w:pPr>
        <w:widowControl/>
        <w:snapToGrid w:val="0"/>
        <w:jc w:val="center"/>
        <w:textAlignment w:val="baseline"/>
        <w:rPr>
          <w:rFonts w:ascii="宋体" w:hAnsi="宋体" w:eastAsia="宋体" w:cs="宋体"/>
          <w:b/>
          <w:bCs/>
          <w:sz w:val="52"/>
          <w:szCs w:val="52"/>
          <w:u w:val="none"/>
        </w:rPr>
      </w:pPr>
      <w:r>
        <w:rPr>
          <w:rFonts w:hint="eastAsia" w:ascii="宋体" w:hAnsi="宋体" w:cs="宋体"/>
          <w:b/>
          <w:bCs/>
          <w:sz w:val="52"/>
          <w:szCs w:val="52"/>
          <w:u w:val="none"/>
          <w:lang w:val="en-US" w:eastAsia="zh-CN"/>
        </w:rPr>
        <w:t>货物</w:t>
      </w:r>
      <w:r>
        <w:rPr>
          <w:rFonts w:hint="eastAsia" w:ascii="宋体" w:hAnsi="宋体" w:eastAsia="宋体" w:cs="宋体"/>
          <w:b/>
          <w:bCs/>
          <w:sz w:val="52"/>
          <w:szCs w:val="52"/>
          <w:u w:val="none"/>
        </w:rPr>
        <w:t>采购合同</w:t>
      </w:r>
    </w:p>
    <w:p w14:paraId="4D4186DE">
      <w:pPr>
        <w:widowControl/>
        <w:snapToGrid w:val="0"/>
        <w:ind w:firstLine="1827"/>
        <w:jc w:val="center"/>
        <w:textAlignment w:val="baseline"/>
        <w:rPr>
          <w:rFonts w:ascii="宋体" w:hAnsi="宋体" w:eastAsia="宋体" w:cs="宋体"/>
          <w:b/>
          <w:bCs/>
          <w:sz w:val="52"/>
          <w:szCs w:val="52"/>
        </w:rPr>
      </w:pPr>
    </w:p>
    <w:p w14:paraId="109318F5">
      <w:pPr>
        <w:widowControl/>
        <w:snapToGrid w:val="0"/>
        <w:ind w:firstLine="1827"/>
        <w:jc w:val="center"/>
        <w:textAlignment w:val="baseline"/>
        <w:rPr>
          <w:rFonts w:ascii="宋体" w:hAnsi="宋体" w:eastAsia="宋体" w:cs="宋体"/>
          <w:b/>
          <w:bCs/>
          <w:sz w:val="52"/>
          <w:szCs w:val="52"/>
        </w:rPr>
      </w:pPr>
    </w:p>
    <w:p w14:paraId="2C27FF3C">
      <w:pPr>
        <w:widowControl/>
        <w:snapToGrid w:val="0"/>
        <w:ind w:firstLine="1827"/>
        <w:jc w:val="center"/>
        <w:textAlignment w:val="baseline"/>
        <w:rPr>
          <w:rFonts w:ascii="宋体" w:hAnsi="宋体" w:eastAsia="宋体" w:cs="宋体"/>
          <w:b/>
          <w:bCs/>
          <w:sz w:val="52"/>
          <w:szCs w:val="52"/>
        </w:rPr>
      </w:pPr>
    </w:p>
    <w:p w14:paraId="646D333E">
      <w:pPr>
        <w:widowControl/>
        <w:snapToGrid w:val="0"/>
        <w:ind w:firstLine="735"/>
        <w:textAlignment w:val="baseline"/>
        <w:rPr>
          <w:rFonts w:ascii="宋体" w:hAnsi="宋体" w:eastAsia="宋体" w:cs="宋体"/>
          <w:szCs w:val="20"/>
        </w:rPr>
      </w:pPr>
    </w:p>
    <w:p w14:paraId="3EEC8239">
      <w:pPr>
        <w:spacing w:after="120"/>
        <w:ind w:firstLine="735"/>
        <w:textAlignment w:val="baseline"/>
        <w:rPr>
          <w:rFonts w:ascii="宋体" w:hAnsi="宋体" w:eastAsia="宋体" w:cs="宋体"/>
        </w:rPr>
      </w:pPr>
    </w:p>
    <w:p w14:paraId="3C696DF0">
      <w:pPr>
        <w:widowControl/>
        <w:ind w:firstLine="735"/>
        <w:textAlignment w:val="baseline"/>
        <w:rPr>
          <w:rFonts w:ascii="宋体" w:hAnsi="宋体" w:eastAsia="宋体" w:cs="宋体"/>
          <w:szCs w:val="20"/>
        </w:rPr>
      </w:pPr>
    </w:p>
    <w:p w14:paraId="2F09D8EC">
      <w:pPr>
        <w:widowControl/>
        <w:snapToGrid w:val="0"/>
        <w:ind w:firstLine="735"/>
        <w:textAlignment w:val="baseline"/>
        <w:rPr>
          <w:rFonts w:ascii="宋体" w:hAnsi="宋体" w:eastAsia="宋体" w:cs="宋体"/>
          <w:szCs w:val="20"/>
        </w:rPr>
      </w:pPr>
    </w:p>
    <w:p w14:paraId="6D42CB60">
      <w:pPr>
        <w:widowControl/>
        <w:snapToGrid w:val="0"/>
        <w:ind w:firstLine="735"/>
        <w:textAlignment w:val="baseline"/>
        <w:rPr>
          <w:rFonts w:ascii="宋体" w:hAnsi="宋体" w:eastAsia="宋体" w:cs="宋体"/>
          <w:szCs w:val="20"/>
        </w:rPr>
      </w:pPr>
    </w:p>
    <w:p w14:paraId="62465892">
      <w:pPr>
        <w:widowControl/>
        <w:snapToGrid w:val="0"/>
        <w:ind w:firstLine="735"/>
        <w:textAlignment w:val="baseline"/>
        <w:rPr>
          <w:rFonts w:ascii="宋体" w:hAnsi="宋体" w:eastAsia="宋体" w:cs="宋体"/>
          <w:szCs w:val="20"/>
        </w:rPr>
      </w:pPr>
    </w:p>
    <w:p w14:paraId="43E1B2D8">
      <w:pPr>
        <w:widowControl/>
        <w:snapToGrid w:val="0"/>
        <w:spacing w:line="360" w:lineRule="auto"/>
        <w:ind w:firstLine="1960" w:firstLineChars="700"/>
        <w:jc w:val="both"/>
        <w:textAlignment w:val="baseline"/>
        <w:rPr>
          <w:rFonts w:hint="default" w:ascii="宋体" w:hAnsi="宋体" w:eastAsia="宋体" w:cs="宋体"/>
          <w:sz w:val="28"/>
          <w:szCs w:val="28"/>
          <w:u w:val="single"/>
          <w:lang w:val="en-US" w:eastAsia="zh-CN"/>
        </w:rPr>
      </w:pPr>
      <w:r>
        <w:rPr>
          <w:rFonts w:hint="eastAsia" w:ascii="宋体" w:hAnsi="宋体" w:eastAsia="宋体" w:cs="宋体"/>
          <w:sz w:val="28"/>
          <w:szCs w:val="28"/>
        </w:rPr>
        <w:t>甲方：</w:t>
      </w:r>
      <w:r>
        <w:rPr>
          <w:rFonts w:hint="eastAsia" w:ascii="宋体" w:hAnsi="宋体" w:eastAsia="宋体" w:cs="宋体"/>
          <w:sz w:val="28"/>
          <w:szCs w:val="28"/>
          <w:u w:val="single" w:color="000000"/>
          <w:lang w:val="en-US" w:eastAsia="zh-CN"/>
        </w:rPr>
        <w:t xml:space="preserve">                               </w:t>
      </w:r>
    </w:p>
    <w:p w14:paraId="37049272">
      <w:pPr>
        <w:widowControl/>
        <w:snapToGrid w:val="0"/>
        <w:spacing w:line="360" w:lineRule="auto"/>
        <w:jc w:val="center"/>
        <w:textAlignment w:val="baseline"/>
        <w:rPr>
          <w:rFonts w:hint="eastAsia" w:ascii="宋体" w:hAnsi="宋体" w:eastAsia="宋体" w:cs="宋体"/>
          <w:sz w:val="28"/>
          <w:szCs w:val="28"/>
        </w:rPr>
      </w:pPr>
    </w:p>
    <w:p w14:paraId="38819248">
      <w:pPr>
        <w:widowControl/>
        <w:snapToGrid w:val="0"/>
        <w:spacing w:line="360" w:lineRule="auto"/>
        <w:ind w:firstLine="1960" w:firstLineChars="700"/>
        <w:jc w:val="both"/>
        <w:textAlignment w:val="baseline"/>
        <w:rPr>
          <w:rFonts w:hint="default" w:ascii="宋体" w:hAnsi="宋体" w:eastAsia="宋体" w:cs="宋体"/>
          <w:sz w:val="28"/>
          <w:szCs w:val="28"/>
          <w:u w:val="single"/>
          <w:lang w:val="en-US" w:eastAsia="zh-CN"/>
        </w:rPr>
      </w:pPr>
      <w:r>
        <w:rPr>
          <w:rFonts w:hint="eastAsia" w:ascii="宋体" w:hAnsi="宋体" w:eastAsia="宋体" w:cs="宋体"/>
          <w:sz w:val="28"/>
          <w:szCs w:val="28"/>
        </w:rPr>
        <w:t>乙方：</w:t>
      </w:r>
      <w:r>
        <w:rPr>
          <w:rFonts w:hint="eastAsia" w:ascii="宋体" w:hAnsi="宋体" w:eastAsia="宋体" w:cs="宋体"/>
          <w:sz w:val="28"/>
          <w:szCs w:val="28"/>
          <w:u w:val="single" w:color="000000"/>
          <w:lang w:val="en-US" w:eastAsia="zh-CN"/>
        </w:rPr>
        <w:t xml:space="preserve">                               </w:t>
      </w:r>
    </w:p>
    <w:p w14:paraId="68CEC35A">
      <w:pPr>
        <w:widowControl/>
        <w:snapToGrid w:val="0"/>
        <w:spacing w:line="360" w:lineRule="auto"/>
        <w:ind w:firstLine="980"/>
        <w:textAlignment w:val="baseline"/>
        <w:rPr>
          <w:rFonts w:ascii="宋体" w:hAnsi="宋体" w:eastAsia="宋体" w:cs="宋体"/>
          <w:sz w:val="28"/>
          <w:szCs w:val="28"/>
          <w:u w:val="single"/>
        </w:rPr>
      </w:pPr>
    </w:p>
    <w:p w14:paraId="0A46FF1D">
      <w:pPr>
        <w:widowControl/>
        <w:snapToGrid w:val="0"/>
        <w:ind w:firstLine="980"/>
        <w:jc w:val="center"/>
        <w:textAlignment w:val="baseline"/>
        <w:rPr>
          <w:rFonts w:ascii="宋体" w:hAnsi="宋体" w:eastAsia="宋体" w:cs="宋体"/>
          <w:sz w:val="28"/>
          <w:szCs w:val="28"/>
          <w:u w:val="single"/>
        </w:rPr>
      </w:pPr>
    </w:p>
    <w:p w14:paraId="762166DD">
      <w:pPr>
        <w:widowControl/>
        <w:snapToGrid w:val="0"/>
        <w:ind w:firstLine="980"/>
        <w:jc w:val="center"/>
        <w:textAlignment w:val="baseline"/>
        <w:rPr>
          <w:rFonts w:ascii="宋体" w:hAnsi="宋体" w:eastAsia="宋体" w:cs="宋体"/>
          <w:sz w:val="28"/>
          <w:szCs w:val="28"/>
        </w:rPr>
      </w:pPr>
      <w:r>
        <w:rPr>
          <w:rFonts w:hint="eastAsia" w:ascii="宋体" w:hAnsi="宋体" w:eastAsia="宋体" w:cs="宋体"/>
          <w:sz w:val="28"/>
          <w:szCs w:val="28"/>
          <w:u w:val="single" w:color="000000"/>
        </w:rPr>
        <w:t xml:space="preserve">      </w:t>
      </w:r>
      <w:r>
        <w:rPr>
          <w:rFonts w:hint="eastAsia" w:ascii="宋体" w:hAnsi="宋体" w:eastAsia="宋体" w:cs="宋体"/>
          <w:sz w:val="28"/>
          <w:szCs w:val="28"/>
        </w:rPr>
        <w:t>年</w:t>
      </w:r>
      <w:r>
        <w:rPr>
          <w:rFonts w:hint="eastAsia" w:ascii="宋体" w:hAnsi="宋体" w:eastAsia="宋体" w:cs="宋体"/>
          <w:sz w:val="28"/>
          <w:szCs w:val="28"/>
          <w:u w:val="single" w:color="000000"/>
        </w:rPr>
        <w:t xml:space="preserve">  </w:t>
      </w:r>
      <w:r>
        <w:rPr>
          <w:rFonts w:hint="eastAsia" w:ascii="宋体" w:hAnsi="宋体" w:eastAsia="宋体" w:cs="宋体"/>
          <w:sz w:val="28"/>
          <w:szCs w:val="28"/>
          <w:u w:val="single" w:color="000000"/>
          <w:lang w:val="en-US" w:eastAsia="zh-CN"/>
        </w:rPr>
        <w:t xml:space="preserve">   </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月</w:t>
      </w:r>
      <w:r>
        <w:rPr>
          <w:rFonts w:hint="eastAsia" w:ascii="宋体" w:hAnsi="宋体" w:eastAsia="宋体" w:cs="宋体"/>
          <w:sz w:val="28"/>
          <w:szCs w:val="28"/>
          <w:u w:val="single" w:color="000000"/>
        </w:rPr>
        <w:t xml:space="preserve">  </w:t>
      </w:r>
      <w:r>
        <w:rPr>
          <w:rFonts w:hint="eastAsia" w:ascii="宋体" w:hAnsi="宋体" w:eastAsia="宋体" w:cs="宋体"/>
          <w:sz w:val="28"/>
          <w:szCs w:val="28"/>
          <w:u w:val="single" w:color="000000"/>
          <w:lang w:val="en-US" w:eastAsia="zh-CN"/>
        </w:rPr>
        <w:t xml:space="preserve">   </w:t>
      </w:r>
      <w:r>
        <w:rPr>
          <w:rFonts w:hint="eastAsia" w:ascii="宋体" w:hAnsi="宋体" w:eastAsia="宋体" w:cs="宋体"/>
          <w:sz w:val="28"/>
          <w:szCs w:val="28"/>
          <w:u w:val="single" w:color="000000"/>
        </w:rPr>
        <w:t xml:space="preserve"> </w:t>
      </w:r>
      <w:r>
        <w:rPr>
          <w:rFonts w:hint="eastAsia" w:ascii="宋体" w:hAnsi="宋体" w:eastAsia="宋体" w:cs="宋体"/>
          <w:sz w:val="28"/>
          <w:szCs w:val="28"/>
        </w:rPr>
        <w:t>日</w:t>
      </w:r>
    </w:p>
    <w:p w14:paraId="44B25F33">
      <w:pPr>
        <w:widowControl/>
        <w:ind w:firstLine="735"/>
        <w:textAlignment w:val="baseline"/>
        <w:rPr>
          <w:rFonts w:ascii="宋体" w:hAnsi="宋体" w:eastAsia="宋体" w:cs="宋体"/>
          <w:szCs w:val="20"/>
        </w:rPr>
      </w:pPr>
    </w:p>
    <w:p w14:paraId="7ECBE849">
      <w:pPr>
        <w:snapToGrid w:val="0"/>
        <w:spacing w:before="312" w:line="480" w:lineRule="atLeast"/>
        <w:ind w:firstLine="1265"/>
        <w:jc w:val="center"/>
        <w:textAlignment w:val="baseline"/>
        <w:rPr>
          <w:rFonts w:ascii="宋体" w:hAnsi="宋体" w:eastAsia="宋体" w:cs="宋体"/>
          <w:b/>
          <w:sz w:val="36"/>
          <w:szCs w:val="36"/>
        </w:rPr>
      </w:pPr>
    </w:p>
    <w:p w14:paraId="7B838AF8">
      <w:pPr>
        <w:spacing w:before="240" w:line="360" w:lineRule="auto"/>
        <w:ind w:firstLine="843"/>
        <w:jc w:val="center"/>
        <w:outlineLvl w:val="0"/>
        <w:rPr>
          <w:rFonts w:ascii="宋体" w:hAnsi="宋体" w:eastAsia="宋体" w:cs="宋体"/>
          <w:b/>
          <w:sz w:val="24"/>
        </w:rPr>
        <w:sectPr>
          <w:footerReference r:id="rId3" w:type="default"/>
          <w:pgSz w:w="11906" w:h="16838"/>
          <w:pgMar w:top="1440" w:right="1332" w:bottom="1440" w:left="1797" w:header="851" w:footer="992" w:gutter="0"/>
          <w:pgNumType w:fmt="decimal"/>
          <w:cols w:space="720" w:num="1"/>
          <w:docGrid w:linePitch="312" w:charSpace="0"/>
        </w:sectPr>
      </w:pPr>
    </w:p>
    <w:p w14:paraId="2F9D2D57">
      <w:pPr>
        <w:pStyle w:val="17"/>
        <w:spacing w:line="480" w:lineRule="exact"/>
        <w:ind w:left="0" w:leftChars="0" w:firstLine="602" w:firstLineChars="200"/>
        <w:jc w:val="center"/>
        <w:rPr>
          <w:rFonts w:hint="eastAsia" w:ascii="宋体" w:hAnsi="宋体" w:eastAsia="宋体"/>
          <w:b/>
          <w:bCs/>
          <w:sz w:val="30"/>
          <w:szCs w:val="30"/>
          <w:lang w:eastAsia="zh-CN"/>
        </w:rPr>
      </w:pPr>
      <w:r>
        <w:rPr>
          <w:rFonts w:hint="eastAsia" w:ascii="宋体" w:hAnsi="宋体"/>
          <w:b/>
          <w:bCs/>
          <w:sz w:val="30"/>
          <w:szCs w:val="30"/>
          <w:lang w:eastAsia="zh-CN"/>
        </w:rPr>
        <w:t>供货合同</w:t>
      </w:r>
    </w:p>
    <w:p w14:paraId="60CD8C47">
      <w:pPr>
        <w:pStyle w:val="17"/>
        <w:keepNext w:val="0"/>
        <w:keepLines w:val="0"/>
        <w:pageBreakBefore w:val="0"/>
        <w:widowControl w:val="0"/>
        <w:kinsoku/>
        <w:wordWrap/>
        <w:overflowPunct/>
        <w:topLinePunct w:val="0"/>
        <w:bidi w:val="0"/>
        <w:adjustRightInd/>
        <w:spacing w:line="500" w:lineRule="exact"/>
        <w:ind w:firstLine="480"/>
        <w:textAlignment w:val="auto"/>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甲方（采购人）：</w:t>
      </w:r>
      <w:r>
        <w:rPr>
          <w:rFonts w:hint="eastAsia" w:asciiTheme="minorEastAsia" w:hAnsiTheme="minorEastAsia" w:eastAsiaTheme="minorEastAsia" w:cstheme="minorEastAsia"/>
          <w:sz w:val="24"/>
          <w:szCs w:val="24"/>
          <w:u w:val="single"/>
          <w:lang w:val="en-US" w:eastAsia="zh-CN"/>
        </w:rPr>
        <w:t xml:space="preserve">                              </w:t>
      </w:r>
    </w:p>
    <w:p w14:paraId="479BB8CE">
      <w:pPr>
        <w:pStyle w:val="17"/>
        <w:keepNext w:val="0"/>
        <w:keepLines w:val="0"/>
        <w:pageBreakBefore w:val="0"/>
        <w:widowControl w:val="0"/>
        <w:kinsoku/>
        <w:wordWrap/>
        <w:overflowPunct/>
        <w:topLinePunct w:val="0"/>
        <w:bidi w:val="0"/>
        <w:adjustRightInd/>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lang w:val="en-US" w:eastAsia="zh-CN"/>
        </w:rPr>
        <w:t xml:space="preserve">                              </w:t>
      </w:r>
    </w:p>
    <w:p w14:paraId="441809B3">
      <w:pPr>
        <w:keepNext w:val="0"/>
        <w:keepLines w:val="0"/>
        <w:pageBreakBefore w:val="0"/>
        <w:widowControl/>
        <w:wordWrap/>
        <w:overflowPunct/>
        <w:topLinePunct w:val="0"/>
        <w:autoSpaceDE w:val="0"/>
        <w:autoSpaceDN w:val="0"/>
        <w:bidi w:val="0"/>
        <w:adjustRightInd w:val="0"/>
        <w:snapToGrid w:val="0"/>
        <w:spacing w:line="500" w:lineRule="exact"/>
        <w:ind w:firstLine="480" w:firstLineChars="200"/>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u w:val="single"/>
          <w:lang w:eastAsia="zh-CN"/>
        </w:rPr>
        <w:t>（</w:t>
      </w:r>
      <w:r>
        <w:rPr>
          <w:rFonts w:hint="eastAsia" w:asciiTheme="minorEastAsia" w:hAnsiTheme="minorEastAsia" w:eastAsiaTheme="minorEastAsia" w:cstheme="minorEastAsia"/>
          <w:bCs/>
          <w:sz w:val="24"/>
          <w:szCs w:val="24"/>
          <w:u w:val="single"/>
          <w:lang w:val="en-US" w:eastAsia="zh-CN"/>
        </w:rPr>
        <w:t>项目名称</w:t>
      </w:r>
      <w:r>
        <w:rPr>
          <w:rFonts w:hint="eastAsia" w:asciiTheme="minorEastAsia" w:hAnsiTheme="minorEastAsia" w:eastAsiaTheme="minorEastAsia" w:cstheme="minorEastAsia"/>
          <w:bCs/>
          <w:sz w:val="24"/>
          <w:szCs w:val="24"/>
          <w:u w:val="single"/>
          <w:lang w:eastAsia="zh-CN"/>
        </w:rPr>
        <w:t>）</w:t>
      </w:r>
      <w:r>
        <w:rPr>
          <w:rFonts w:hint="eastAsia" w:asciiTheme="minorEastAsia" w:hAnsiTheme="minorEastAsia" w:eastAsiaTheme="minorEastAsia" w:cstheme="minorEastAsia"/>
          <w:bCs/>
          <w:sz w:val="24"/>
          <w:szCs w:val="24"/>
          <w:u w:val="single"/>
        </w:rPr>
        <w:t>(项目编号)</w:t>
      </w:r>
      <w:r>
        <w:rPr>
          <w:rFonts w:hint="eastAsia" w:asciiTheme="minorEastAsia" w:hAnsiTheme="minorEastAsia" w:eastAsiaTheme="minorEastAsia" w:cstheme="minorEastAsia"/>
          <w:bCs/>
          <w:sz w:val="24"/>
          <w:szCs w:val="24"/>
        </w:rPr>
        <w:t>，由</w:t>
      </w:r>
      <w:r>
        <w:rPr>
          <w:rFonts w:hint="eastAsia" w:asciiTheme="minorEastAsia" w:hAnsiTheme="minorEastAsia" w:eastAsiaTheme="minorEastAsia" w:cstheme="minorEastAsia"/>
          <w:bCs/>
          <w:sz w:val="24"/>
          <w:szCs w:val="24"/>
          <w:u w:val="single"/>
          <w:lang w:eastAsia="zh-CN"/>
        </w:rPr>
        <w:t>（</w:t>
      </w:r>
      <w:r>
        <w:rPr>
          <w:rFonts w:hint="eastAsia" w:asciiTheme="minorEastAsia" w:hAnsiTheme="minorEastAsia" w:eastAsiaTheme="minorEastAsia" w:cstheme="minorEastAsia"/>
          <w:bCs/>
          <w:sz w:val="24"/>
          <w:szCs w:val="24"/>
          <w:u w:val="single"/>
          <w:lang w:val="en-US" w:eastAsia="zh-CN"/>
        </w:rPr>
        <w:t>采购代理机构</w:t>
      </w:r>
      <w:r>
        <w:rPr>
          <w:rFonts w:hint="eastAsia" w:asciiTheme="minorEastAsia" w:hAnsiTheme="minorEastAsia" w:eastAsiaTheme="minorEastAsia" w:cstheme="minorEastAsia"/>
          <w:bCs/>
          <w:sz w:val="24"/>
          <w:szCs w:val="24"/>
          <w:u w:val="single"/>
          <w:lang w:eastAsia="zh-CN"/>
        </w:rPr>
        <w:t>）</w:t>
      </w:r>
      <w:r>
        <w:rPr>
          <w:rFonts w:hint="eastAsia" w:asciiTheme="minorEastAsia" w:hAnsiTheme="minorEastAsia" w:eastAsiaTheme="minorEastAsia" w:cstheme="minorEastAsia"/>
          <w:bCs/>
          <w:sz w:val="24"/>
          <w:szCs w:val="24"/>
        </w:rPr>
        <w:t>组织</w:t>
      </w:r>
      <w:r>
        <w:rPr>
          <w:rFonts w:hint="eastAsia" w:asciiTheme="minorEastAsia" w:hAnsiTheme="minorEastAsia" w:eastAsiaTheme="minorEastAsia" w:cstheme="minorEastAsia"/>
          <w:bCs/>
          <w:sz w:val="24"/>
          <w:szCs w:val="24"/>
          <w:lang w:val="en-US" w:eastAsia="zh-CN"/>
        </w:rPr>
        <w:t>公开</w:t>
      </w:r>
      <w:r>
        <w:rPr>
          <w:rFonts w:hint="eastAsia" w:asciiTheme="minorEastAsia" w:hAnsiTheme="minorEastAsia" w:eastAsiaTheme="minorEastAsia" w:cstheme="minorEastAsia"/>
          <w:bCs/>
          <w:sz w:val="24"/>
          <w:szCs w:val="24"/>
        </w:rPr>
        <w:t>招标，</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 xml:space="preserve"> (以下简称“甲方”)</w:t>
      </w:r>
      <w:r>
        <w:rPr>
          <w:rFonts w:hint="eastAsia" w:asciiTheme="minorEastAsia" w:hAnsiTheme="minorEastAsia" w:eastAsiaTheme="minorEastAsia" w:cstheme="minorEastAsia"/>
          <w:bCs/>
          <w:sz w:val="24"/>
          <w:szCs w:val="24"/>
        </w:rPr>
        <w:t xml:space="preserve">确定 </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u w:val="single"/>
        </w:rPr>
        <w:t>（以下简称“乙方”）</w:t>
      </w:r>
      <w:r>
        <w:rPr>
          <w:rFonts w:hint="eastAsia" w:asciiTheme="minorEastAsia" w:hAnsiTheme="minorEastAsia" w:eastAsiaTheme="minorEastAsia" w:cstheme="minorEastAsia"/>
          <w:bCs/>
          <w:sz w:val="24"/>
          <w:szCs w:val="24"/>
        </w:rPr>
        <w:t>为该项目的中标人。</w:t>
      </w:r>
    </w:p>
    <w:p w14:paraId="6A9448A6">
      <w:pPr>
        <w:pStyle w:val="17"/>
        <w:keepNext w:val="0"/>
        <w:keepLines w:val="0"/>
        <w:pageBreakBefore w:val="0"/>
        <w:widowControl w:val="0"/>
        <w:kinsoku/>
        <w:wordWrap/>
        <w:overflowPunct/>
        <w:topLinePunct w:val="0"/>
        <w:bidi w:val="0"/>
        <w:adjustRightInd/>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根据《中华人民共和国政府采购法》及实施条例、《中华人民共和国</w:t>
      </w:r>
      <w:r>
        <w:rPr>
          <w:rFonts w:hint="eastAsia" w:asciiTheme="minorEastAsia" w:hAnsiTheme="minorEastAsia" w:eastAsiaTheme="minorEastAsia" w:cstheme="minorEastAsia"/>
          <w:sz w:val="24"/>
          <w:szCs w:val="24"/>
          <w:lang w:eastAsia="zh-CN"/>
        </w:rPr>
        <w:t>民法典</w:t>
      </w:r>
      <w:r>
        <w:rPr>
          <w:rFonts w:hint="eastAsia" w:asciiTheme="minorEastAsia" w:hAnsiTheme="minorEastAsia" w:eastAsiaTheme="minorEastAsia" w:cstheme="minorEastAsia"/>
          <w:sz w:val="24"/>
          <w:szCs w:val="24"/>
        </w:rPr>
        <w:t>》和</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项目名称</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val="en-US" w:eastAsia="zh-CN"/>
        </w:rPr>
        <w:t>采购</w:t>
      </w:r>
      <w:r>
        <w:rPr>
          <w:rFonts w:hint="eastAsia" w:asciiTheme="minorEastAsia" w:hAnsiTheme="minorEastAsia" w:eastAsiaTheme="minorEastAsia" w:cstheme="minorEastAsia"/>
          <w:sz w:val="24"/>
          <w:szCs w:val="24"/>
        </w:rPr>
        <w:t>文件等有关规定，为确保甲方采购项目的顺利实施，甲、乙双方在平等自愿原则下签订本合同，并共同遵守如下条款：</w:t>
      </w:r>
    </w:p>
    <w:p w14:paraId="0F7EAD72">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一、项目基本情况</w:t>
      </w:r>
    </w:p>
    <w:p w14:paraId="5ACAFC9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firstLine="480" w:firstLineChars="200"/>
        <w:outlineLvl w:val="6"/>
        <w:rPr>
          <w:rFonts w:hint="eastAsia" w:asciiTheme="minorEastAsia" w:hAnsiTheme="minorEastAsia" w:eastAsiaTheme="minorEastAsia" w:cstheme="minorEastAsia"/>
          <w:bCs/>
          <w:color w:val="auto"/>
          <w:kern w:val="2"/>
          <w:sz w:val="24"/>
          <w:szCs w:val="24"/>
          <w:u w:val="single"/>
          <w:lang w:val="en-US" w:eastAsia="zh-CN" w:bidi="ar-SA"/>
        </w:rPr>
      </w:pP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项目概况</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color w:val="auto"/>
          <w:kern w:val="2"/>
          <w:sz w:val="24"/>
          <w:szCs w:val="24"/>
          <w:u w:val="single"/>
          <w:lang w:val="en-US" w:eastAsia="zh-CN" w:bidi="ar-SA"/>
        </w:rPr>
        <w:t>①应急药剂采购。综合临潼区小麦病虫害发生情况、灾害危害程度，采购一批以防治小麦赤霉病为主的应急杀菌剂(丙硫菌唑·戊唑醇等)，组织引导种粮主体和群众适时对病虫害重发田、常发田开展“一喷三防”工作，基础保障面积23.5万亩。②叶面肥采购。结合小麦生产实际情况，采购以促进小麦灌浆增粒重为主的叶面肥(磷酸二氢钾、氨基酸水溶肥、芸苔素内酯等)一批，在小麦生长后期进行喷施，促进养分转化，增加千粒重，提质增产，基础保障面积24万亩。</w:t>
      </w:r>
    </w:p>
    <w:p w14:paraId="2D3C4A0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firstLine="480" w:firstLineChars="200"/>
        <w:outlineLvl w:val="6"/>
        <w:rPr>
          <w:rFonts w:hint="eastAsia" w:asciiTheme="minorEastAsia" w:hAnsiTheme="minorEastAsia" w:eastAsiaTheme="minorEastAsia" w:cstheme="minorEastAsia"/>
          <w:bCs/>
          <w:sz w:val="24"/>
          <w:szCs w:val="24"/>
          <w:u w:val="single"/>
          <w:lang w:val="en-US" w:eastAsia="zh-CN"/>
        </w:rPr>
      </w:pPr>
      <w:r>
        <w:rPr>
          <w:rFonts w:hint="eastAsia" w:asciiTheme="minorEastAsia" w:hAnsiTheme="minorEastAsia" w:eastAsiaTheme="minorEastAsia" w:cstheme="minorEastAsia"/>
          <w:bCs/>
          <w:sz w:val="24"/>
          <w:szCs w:val="24"/>
          <w:lang w:val="en-US" w:eastAsia="zh-CN"/>
        </w:rPr>
        <w:t>2、采购内容：</w:t>
      </w:r>
      <w:r>
        <w:rPr>
          <w:rFonts w:hint="eastAsia" w:asciiTheme="minorEastAsia" w:hAnsiTheme="minorEastAsia" w:eastAsiaTheme="minorEastAsia" w:cstheme="minorEastAsia"/>
          <w:snapToGrid w:val="0"/>
          <w:color w:val="000000"/>
          <w:kern w:val="0"/>
          <w:sz w:val="24"/>
          <w:szCs w:val="24"/>
          <w:highlight w:val="none"/>
          <w:u w:val="single"/>
          <w:lang w:val="en-US" w:eastAsia="zh-CN" w:bidi="ar-SA"/>
        </w:rPr>
        <w:t>①应急药剂采购：采购一批以小麦赤霉病为主的应急防治杀菌剂暂定为7065公斤。杀菌剂及亩用量：40%丙硫菌唑·戊唑醇悬浮剂，30毫升/亩。所供应农药最大包装不大于200克/瓶。</w:t>
      </w:r>
      <w:r>
        <w:rPr>
          <w:rFonts w:hint="eastAsia" w:asciiTheme="minorEastAsia" w:hAnsiTheme="minorEastAsia" w:eastAsiaTheme="minorEastAsia" w:cstheme="minorEastAsia"/>
          <w:i w:val="0"/>
          <w:iCs w:val="0"/>
          <w:caps w:val="0"/>
          <w:color w:val="0F1115"/>
          <w:spacing w:val="0"/>
          <w:sz w:val="24"/>
          <w:szCs w:val="24"/>
          <w:u w:val="single"/>
          <w:shd w:val="clear" w:fill="FFFFFF"/>
        </w:rPr>
        <w:t>最终结算金额以实际供货</w:t>
      </w:r>
      <w:r>
        <w:rPr>
          <w:rFonts w:hint="eastAsia" w:asciiTheme="minorEastAsia" w:hAnsiTheme="minorEastAsia" w:eastAsiaTheme="minorEastAsia" w:cstheme="minorEastAsia"/>
          <w:i w:val="0"/>
          <w:iCs w:val="0"/>
          <w:caps w:val="0"/>
          <w:color w:val="0F1115"/>
          <w:spacing w:val="0"/>
          <w:sz w:val="24"/>
          <w:szCs w:val="24"/>
          <w:u w:val="single"/>
          <w:shd w:val="clear" w:fill="FFFFFF"/>
          <w:lang w:val="en-US" w:eastAsia="zh-CN"/>
        </w:rPr>
        <w:t>公斤</w:t>
      </w:r>
      <w:r>
        <w:rPr>
          <w:rFonts w:hint="eastAsia" w:asciiTheme="minorEastAsia" w:hAnsiTheme="minorEastAsia" w:eastAsiaTheme="minorEastAsia" w:cstheme="minorEastAsia"/>
          <w:i w:val="0"/>
          <w:iCs w:val="0"/>
          <w:caps w:val="0"/>
          <w:color w:val="0F1115"/>
          <w:spacing w:val="0"/>
          <w:sz w:val="24"/>
          <w:szCs w:val="24"/>
          <w:u w:val="single"/>
          <w:shd w:val="clear" w:fill="FFFFFF"/>
        </w:rPr>
        <w:t>数量为准，按中标综合单价据实结算</w:t>
      </w:r>
      <w:r>
        <w:rPr>
          <w:rFonts w:hint="eastAsia" w:asciiTheme="minorEastAsia" w:hAnsiTheme="minorEastAsia" w:eastAsiaTheme="minorEastAsia" w:cstheme="minorEastAsia"/>
          <w:i w:val="0"/>
          <w:iCs w:val="0"/>
          <w:caps w:val="0"/>
          <w:color w:val="0F1115"/>
          <w:spacing w:val="0"/>
          <w:sz w:val="24"/>
          <w:szCs w:val="24"/>
          <w:u w:val="single"/>
          <w:shd w:val="clear" w:fill="FFFFFF"/>
          <w:lang w:eastAsia="zh-CN"/>
        </w:rPr>
        <w:t>。</w:t>
      </w:r>
      <w:r>
        <w:rPr>
          <w:rFonts w:hint="eastAsia" w:asciiTheme="minorEastAsia" w:hAnsiTheme="minorEastAsia" w:eastAsiaTheme="minorEastAsia" w:cstheme="minorEastAsia"/>
          <w:snapToGrid w:val="0"/>
          <w:color w:val="000000"/>
          <w:kern w:val="0"/>
          <w:sz w:val="24"/>
          <w:szCs w:val="24"/>
          <w:highlight w:val="none"/>
          <w:u w:val="single"/>
          <w:lang w:val="en-US" w:eastAsia="zh-CN" w:bidi="ar-SA"/>
        </w:rPr>
        <w:t>②叶面肥采购：采购以促进小麦灌浆增粒重为主的叶面肥暂定为19298公斤。叶面肥：98%膨化闪溶磷酸二氢钾。所供应叶面肥最大包装不大于500克/袋。</w:t>
      </w:r>
      <w:r>
        <w:rPr>
          <w:rFonts w:hint="eastAsia" w:asciiTheme="minorEastAsia" w:hAnsiTheme="minorEastAsia" w:eastAsiaTheme="minorEastAsia" w:cstheme="minorEastAsia"/>
          <w:i w:val="0"/>
          <w:iCs w:val="0"/>
          <w:caps w:val="0"/>
          <w:color w:val="0F1115"/>
          <w:spacing w:val="0"/>
          <w:sz w:val="24"/>
          <w:szCs w:val="24"/>
          <w:u w:val="single"/>
          <w:shd w:val="clear" w:fill="FFFFFF"/>
        </w:rPr>
        <w:t>最终结算金额以实际供货</w:t>
      </w:r>
      <w:r>
        <w:rPr>
          <w:rFonts w:hint="eastAsia" w:asciiTheme="minorEastAsia" w:hAnsiTheme="minorEastAsia" w:eastAsiaTheme="minorEastAsia" w:cstheme="minorEastAsia"/>
          <w:i w:val="0"/>
          <w:iCs w:val="0"/>
          <w:caps w:val="0"/>
          <w:color w:val="0F1115"/>
          <w:spacing w:val="0"/>
          <w:sz w:val="24"/>
          <w:szCs w:val="24"/>
          <w:u w:val="single"/>
          <w:shd w:val="clear" w:fill="FFFFFF"/>
          <w:lang w:val="en-US" w:eastAsia="zh-CN"/>
        </w:rPr>
        <w:t>公斤</w:t>
      </w:r>
      <w:r>
        <w:rPr>
          <w:rFonts w:hint="eastAsia" w:asciiTheme="minorEastAsia" w:hAnsiTheme="minorEastAsia" w:eastAsiaTheme="minorEastAsia" w:cstheme="minorEastAsia"/>
          <w:i w:val="0"/>
          <w:iCs w:val="0"/>
          <w:caps w:val="0"/>
          <w:color w:val="0F1115"/>
          <w:spacing w:val="0"/>
          <w:sz w:val="24"/>
          <w:szCs w:val="24"/>
          <w:u w:val="single"/>
          <w:shd w:val="clear" w:fill="FFFFFF"/>
        </w:rPr>
        <w:t>数量为准，按中标综合单价据实结算</w:t>
      </w:r>
      <w:r>
        <w:rPr>
          <w:rFonts w:hint="eastAsia" w:asciiTheme="minorEastAsia" w:hAnsiTheme="minorEastAsia" w:eastAsiaTheme="minorEastAsia" w:cstheme="minorEastAsia"/>
          <w:bCs/>
          <w:sz w:val="24"/>
          <w:szCs w:val="24"/>
          <w:u w:val="single"/>
          <w:lang w:val="en-US" w:eastAsia="zh-CN"/>
        </w:rPr>
        <w:t>。</w:t>
      </w:r>
      <w:bookmarkStart w:id="0" w:name="_GoBack"/>
      <w:bookmarkEnd w:id="0"/>
    </w:p>
    <w:p w14:paraId="50686E79">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firstLine="480" w:firstLineChars="200"/>
        <w:outlineLvl w:val="6"/>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3、</w:t>
      </w:r>
      <w:r>
        <w:rPr>
          <w:rFonts w:hint="eastAsia" w:asciiTheme="minorEastAsia" w:hAnsiTheme="minorEastAsia" w:eastAsiaTheme="minorEastAsia" w:cstheme="minorEastAsia"/>
          <w:b w:val="0"/>
          <w:bCs w:val="0"/>
          <w:spacing w:val="0"/>
          <w:sz w:val="24"/>
          <w:szCs w:val="24"/>
          <w:highlight w:val="none"/>
        </w:rPr>
        <w:t>技术要求</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eastAsiaTheme="minorEastAsia" w:cstheme="minorEastAsia"/>
          <w:snapToGrid w:val="0"/>
          <w:color w:val="000000"/>
          <w:kern w:val="0"/>
          <w:sz w:val="24"/>
          <w:szCs w:val="24"/>
          <w:highlight w:val="none"/>
          <w:u w:val="single"/>
          <w:lang w:val="en-US" w:eastAsia="zh-CN" w:bidi="ar-SA"/>
        </w:rPr>
        <w:t>供应商所供应应急药剂和叶面肥应出具相关质量检测报告，生产日期为2026年1月及以后，</w:t>
      </w:r>
      <w:r>
        <w:rPr>
          <w:rFonts w:hint="eastAsia" w:asciiTheme="minorEastAsia" w:hAnsiTheme="minorEastAsia" w:eastAsiaTheme="minorEastAsia" w:cstheme="minorEastAsia"/>
          <w:sz w:val="24"/>
          <w:szCs w:val="24"/>
          <w:highlight w:val="none"/>
          <w:u w:val="single"/>
        </w:rPr>
        <w:t>各项指标符合国家相关标准及采购需求</w:t>
      </w:r>
      <w:r>
        <w:rPr>
          <w:rFonts w:hint="eastAsia" w:asciiTheme="minorEastAsia" w:hAnsiTheme="minorEastAsia" w:eastAsiaTheme="minorEastAsia" w:cstheme="minorEastAsia"/>
          <w:bCs/>
          <w:sz w:val="24"/>
          <w:szCs w:val="24"/>
          <w:lang w:val="en-US" w:eastAsia="zh-CN"/>
        </w:rPr>
        <w:t>。</w:t>
      </w:r>
    </w:p>
    <w:p w14:paraId="79D9FED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500" w:lineRule="exact"/>
        <w:ind w:firstLine="480" w:firstLineChars="200"/>
        <w:outlineLvl w:val="6"/>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sz w:val="24"/>
          <w:szCs w:val="24"/>
          <w:highlight w:val="none"/>
          <w:lang w:val="en-US" w:eastAsia="zh-CN"/>
        </w:rPr>
        <w:t>供货服务：</w:t>
      </w:r>
      <w:r>
        <w:rPr>
          <w:rFonts w:hint="eastAsia" w:asciiTheme="minorEastAsia" w:hAnsiTheme="minorEastAsia" w:eastAsiaTheme="minorEastAsia" w:cstheme="minorEastAsia"/>
          <w:sz w:val="24"/>
          <w:szCs w:val="24"/>
          <w:highlight w:val="none"/>
          <w:u w:val="single"/>
          <w:lang w:val="en-US" w:eastAsia="zh-CN"/>
        </w:rPr>
        <w:t>供应商须严格按照采购要求及合同约定时限组织货源、完成供货，保证供货及时、足量、保质，满足田间应急防控窗口期使用需求；根据采购人实际使用需求，积极配合分批供货、紧急补供，保障物资随用随供、不断供</w:t>
      </w:r>
      <w:r>
        <w:rPr>
          <w:rFonts w:hint="eastAsia" w:asciiTheme="minorEastAsia" w:hAnsiTheme="minorEastAsia" w:eastAsiaTheme="minorEastAsia" w:cstheme="minorEastAsia"/>
          <w:bCs/>
          <w:sz w:val="24"/>
          <w:szCs w:val="24"/>
          <w:u w:val="single"/>
          <w:lang w:val="en-US" w:eastAsia="zh-CN"/>
        </w:rPr>
        <w:t>。</w:t>
      </w:r>
    </w:p>
    <w:p w14:paraId="1B5BC8E7">
      <w:pPr>
        <w:keepNext w:val="0"/>
        <w:keepLines w:val="0"/>
        <w:pageBreakBefore w:val="0"/>
        <w:widowControl/>
        <w:wordWrap/>
        <w:overflowPunct/>
        <w:topLinePunct w:val="0"/>
        <w:autoSpaceDE w:val="0"/>
        <w:autoSpaceDN w:val="0"/>
        <w:bidi w:val="0"/>
        <w:adjustRightInd w:val="0"/>
        <w:snapToGrid w:val="0"/>
        <w:spacing w:line="500" w:lineRule="exact"/>
        <w:ind w:firstLine="480" w:firstLineChars="200"/>
        <w:textAlignment w:val="baseline"/>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5、</w:t>
      </w:r>
      <w:r>
        <w:rPr>
          <w:rFonts w:hint="eastAsia" w:asciiTheme="minorEastAsia" w:hAnsiTheme="minorEastAsia" w:eastAsiaTheme="minorEastAsia" w:cstheme="minorEastAsia"/>
          <w:sz w:val="24"/>
          <w:szCs w:val="24"/>
          <w:highlight w:val="none"/>
          <w:lang w:val="en-US" w:eastAsia="zh-CN"/>
        </w:rPr>
        <w:t>资料要求：</w:t>
      </w:r>
      <w:r>
        <w:rPr>
          <w:rFonts w:hint="eastAsia" w:asciiTheme="minorEastAsia" w:hAnsiTheme="minorEastAsia" w:eastAsiaTheme="minorEastAsia" w:cstheme="minorEastAsia"/>
          <w:sz w:val="24"/>
          <w:szCs w:val="24"/>
          <w:highlight w:val="none"/>
          <w:u w:val="single"/>
          <w:lang w:val="en-US" w:eastAsia="zh-CN"/>
        </w:rPr>
        <w:t>供货时须同步随车提供完整合规的产品资料，包含产品合格证、质量检测报告、农药登记证、肥料登记证等全套佐证资料，做到一物一档、资料齐全、真实可溯，配合采购人完成进场验收、台账归档、备查上报工作</w:t>
      </w:r>
      <w:r>
        <w:rPr>
          <w:rFonts w:hint="eastAsia" w:asciiTheme="minorEastAsia" w:hAnsiTheme="minorEastAsia" w:eastAsiaTheme="minorEastAsia" w:cstheme="minorEastAsia"/>
          <w:bCs/>
          <w:sz w:val="24"/>
          <w:szCs w:val="24"/>
          <w:lang w:val="en-US" w:eastAsia="zh-CN"/>
        </w:rPr>
        <w:t>。</w:t>
      </w:r>
    </w:p>
    <w:p w14:paraId="7CFC694F">
      <w:pPr>
        <w:keepNext w:val="0"/>
        <w:keepLines w:val="0"/>
        <w:pageBreakBefore w:val="0"/>
        <w:widowControl/>
        <w:wordWrap/>
        <w:overflowPunct/>
        <w:topLinePunct w:val="0"/>
        <w:autoSpaceDE w:val="0"/>
        <w:autoSpaceDN w:val="0"/>
        <w:bidi w:val="0"/>
        <w:adjustRightInd w:val="0"/>
        <w:snapToGrid w:val="0"/>
        <w:spacing w:line="500" w:lineRule="exact"/>
        <w:ind w:firstLine="480" w:firstLineChars="200"/>
        <w:textAlignment w:val="baseline"/>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sz w:val="24"/>
          <w:szCs w:val="24"/>
          <w:highlight w:val="none"/>
          <w:lang w:val="en-US" w:eastAsia="zh-CN"/>
        </w:rPr>
        <w:t>质量售后：</w:t>
      </w:r>
      <w:r>
        <w:rPr>
          <w:rFonts w:hint="eastAsia" w:asciiTheme="minorEastAsia" w:hAnsiTheme="minorEastAsia" w:eastAsiaTheme="minorEastAsia" w:cstheme="minorEastAsia"/>
          <w:sz w:val="24"/>
          <w:szCs w:val="24"/>
          <w:highlight w:val="none"/>
          <w:u w:val="single"/>
          <w:lang w:val="en-US" w:eastAsia="zh-CN"/>
        </w:rPr>
        <w:t>合同履约及产品质保期内，凡因产品质量、出厂资质、规格不符等供货原因产生的一切问题，供应商须无条件免费更换、补货、整改，承担全部责任及相关费用；严禁供应过期、临期、不合格、资质不全产品</w:t>
      </w:r>
      <w:r>
        <w:rPr>
          <w:rFonts w:hint="eastAsia" w:asciiTheme="minorEastAsia" w:hAnsiTheme="minorEastAsia" w:eastAsiaTheme="minorEastAsia" w:cstheme="minorEastAsia"/>
          <w:bCs/>
          <w:sz w:val="24"/>
          <w:szCs w:val="24"/>
          <w:lang w:val="en-US" w:eastAsia="zh-CN"/>
        </w:rPr>
        <w:t>。</w:t>
      </w:r>
    </w:p>
    <w:p w14:paraId="0EF14757">
      <w:pPr>
        <w:keepNext w:val="0"/>
        <w:keepLines w:val="0"/>
        <w:pageBreakBefore w:val="0"/>
        <w:widowControl/>
        <w:wordWrap/>
        <w:overflowPunct/>
        <w:topLinePunct w:val="0"/>
        <w:autoSpaceDE w:val="0"/>
        <w:autoSpaceDN w:val="0"/>
        <w:bidi w:val="0"/>
        <w:adjustRightInd w:val="0"/>
        <w:snapToGri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sz w:val="24"/>
          <w:szCs w:val="24"/>
          <w:highlight w:val="none"/>
          <w:lang w:val="en-US" w:eastAsia="zh-CN"/>
        </w:rPr>
        <w:t>合规履约：</w:t>
      </w:r>
      <w:r>
        <w:rPr>
          <w:rFonts w:hint="eastAsia" w:asciiTheme="minorEastAsia" w:hAnsiTheme="minorEastAsia" w:eastAsiaTheme="minorEastAsia" w:cstheme="minorEastAsia"/>
          <w:sz w:val="24"/>
          <w:szCs w:val="24"/>
          <w:highlight w:val="none"/>
          <w:u w:val="single"/>
          <w:lang w:val="en-US" w:eastAsia="zh-CN"/>
        </w:rPr>
        <w:t>供应商须严格遵守相关法律法规，规范供货流程、规范台账管理，积极配合采购人开展抽检、核查、验收、督导等各项工作，全程无条件落实各项整改及配合要求。</w:t>
      </w:r>
    </w:p>
    <w:p w14:paraId="4284405D">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二、合同价款</w:t>
      </w:r>
    </w:p>
    <w:p w14:paraId="25434AC5">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sz w:val="24"/>
          <w:szCs w:val="24"/>
        </w:rPr>
        <w:t>本项目采用</w:t>
      </w:r>
      <w:r>
        <w:rPr>
          <w:rStyle w:val="11"/>
          <w:rFonts w:hint="eastAsia" w:asciiTheme="minorEastAsia" w:hAnsiTheme="minorEastAsia" w:eastAsiaTheme="minorEastAsia" w:cstheme="minorEastAsia"/>
          <w:color w:val="000000"/>
          <w:sz w:val="24"/>
          <w:szCs w:val="24"/>
        </w:rPr>
        <w:t>固定单价</w:t>
      </w:r>
      <w:r>
        <w:rPr>
          <w:rFonts w:hint="eastAsia" w:asciiTheme="minorEastAsia" w:hAnsiTheme="minorEastAsia" w:eastAsiaTheme="minorEastAsia" w:cstheme="minorEastAsia"/>
          <w:sz w:val="24"/>
          <w:szCs w:val="24"/>
        </w:rPr>
        <w:t>模式。合同暂估总价款为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其中应急药剂采购</w:t>
      </w:r>
      <w:r>
        <w:rPr>
          <w:rFonts w:hint="eastAsia" w:asciiTheme="minorEastAsia" w:hAnsiTheme="minorEastAsia" w:eastAsiaTheme="minorEastAsia" w:cstheme="minorEastAsia"/>
          <w:sz w:val="24"/>
          <w:szCs w:val="24"/>
        </w:rPr>
        <w:t>暂估总价款</w:t>
      </w:r>
      <w:r>
        <w:rPr>
          <w:rFonts w:hint="eastAsia" w:asciiTheme="minorEastAsia" w:hAnsiTheme="minorEastAsia" w:eastAsiaTheme="minorEastAsia" w:cstheme="minorEastAsia"/>
          <w:sz w:val="24"/>
          <w:szCs w:val="24"/>
          <w:lang w:val="en-US" w:eastAsia="zh-CN"/>
        </w:rPr>
        <w:t>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叶面肥</w:t>
      </w:r>
      <w:r>
        <w:rPr>
          <w:rFonts w:hint="eastAsia" w:asciiTheme="minorEastAsia" w:hAnsiTheme="minorEastAsia" w:eastAsiaTheme="minorEastAsia" w:cstheme="minorEastAsia"/>
          <w:sz w:val="24"/>
          <w:szCs w:val="24"/>
        </w:rPr>
        <w:t>暂估总价款</w:t>
      </w:r>
      <w:r>
        <w:rPr>
          <w:rFonts w:hint="eastAsia" w:asciiTheme="minorEastAsia" w:hAnsiTheme="minorEastAsia" w:eastAsiaTheme="minorEastAsia" w:cstheme="minorEastAsia"/>
          <w:sz w:val="24"/>
          <w:szCs w:val="24"/>
          <w:lang w:val="en-US" w:eastAsia="zh-CN"/>
        </w:rPr>
        <w:t>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以上</w:t>
      </w:r>
      <w:r>
        <w:rPr>
          <w:rFonts w:hint="eastAsia" w:asciiTheme="minorEastAsia" w:hAnsiTheme="minorEastAsia" w:eastAsiaTheme="minorEastAsia" w:cstheme="minorEastAsia"/>
          <w:sz w:val="24"/>
          <w:szCs w:val="24"/>
        </w:rPr>
        <w:t>金额仅作为预算及付款进度参考，</w:t>
      </w:r>
      <w:r>
        <w:rPr>
          <w:rStyle w:val="11"/>
          <w:rFonts w:hint="eastAsia" w:asciiTheme="minorEastAsia" w:hAnsiTheme="minorEastAsia" w:eastAsiaTheme="minorEastAsia" w:cstheme="minorEastAsia"/>
          <w:color w:val="000000"/>
          <w:sz w:val="24"/>
          <w:szCs w:val="24"/>
        </w:rPr>
        <w:t>不作为最终结算金额</w:t>
      </w:r>
      <w:r>
        <w:rPr>
          <w:rFonts w:hint="eastAsia" w:asciiTheme="minorEastAsia" w:hAnsiTheme="minorEastAsia" w:eastAsiaTheme="minorEastAsia" w:cstheme="minorEastAsia"/>
          <w:sz w:val="24"/>
          <w:szCs w:val="24"/>
        </w:rPr>
        <w:t>。</w:t>
      </w:r>
    </w:p>
    <w:p w14:paraId="3219B771">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本项目中标单价为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其中应急药剂采购</w:t>
      </w:r>
      <w:r>
        <w:rPr>
          <w:rFonts w:hint="eastAsia" w:asciiTheme="minorEastAsia" w:hAnsiTheme="minorEastAsia" w:eastAsiaTheme="minorEastAsia" w:cstheme="minorEastAsia"/>
          <w:sz w:val="24"/>
          <w:szCs w:val="24"/>
        </w:rPr>
        <w:t>中标单价</w:t>
      </w:r>
      <w:r>
        <w:rPr>
          <w:rFonts w:hint="eastAsia" w:asciiTheme="minorEastAsia" w:hAnsiTheme="minorEastAsia" w:eastAsiaTheme="minorEastAsia" w:cstheme="minorEastAsia"/>
          <w:sz w:val="24"/>
          <w:szCs w:val="24"/>
          <w:lang w:val="en-US" w:eastAsia="zh-CN"/>
        </w:rPr>
        <w:t>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叶面肥</w:t>
      </w:r>
      <w:r>
        <w:rPr>
          <w:rFonts w:hint="eastAsia" w:asciiTheme="minorEastAsia" w:hAnsiTheme="minorEastAsia" w:eastAsiaTheme="minorEastAsia" w:cstheme="minorEastAsia"/>
          <w:sz w:val="24"/>
          <w:szCs w:val="24"/>
        </w:rPr>
        <w:t>中标单价</w:t>
      </w:r>
      <w:r>
        <w:rPr>
          <w:rFonts w:hint="eastAsia" w:asciiTheme="minorEastAsia" w:hAnsiTheme="minorEastAsia" w:eastAsiaTheme="minorEastAsia" w:cstheme="minorEastAsia"/>
          <w:sz w:val="24"/>
          <w:szCs w:val="24"/>
          <w:lang w:val="en-US" w:eastAsia="zh-CN"/>
        </w:rPr>
        <w:t>为</w:t>
      </w:r>
      <w:r>
        <w:rPr>
          <w:rFonts w:hint="eastAsia" w:asciiTheme="minorEastAsia" w:hAnsiTheme="minorEastAsia" w:eastAsiaTheme="minorEastAsia" w:cstheme="minorEastAsia"/>
          <w:sz w:val="24"/>
          <w:szCs w:val="24"/>
          <w:u w:val="single"/>
        </w:rPr>
        <w:t>人民币（大写）</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元）</w:t>
      </w:r>
      <w:r>
        <w:rPr>
          <w:rFonts w:hint="eastAsia" w:asciiTheme="minorEastAsia" w:hAnsiTheme="minorEastAsia" w:eastAsiaTheme="minorEastAsia" w:cstheme="minorEastAsia"/>
          <w:sz w:val="24"/>
          <w:szCs w:val="24"/>
          <w:u w:val="single"/>
          <w:lang w:eastAsia="zh-CN"/>
        </w:rPr>
        <w:t>。</w:t>
      </w:r>
    </w:p>
    <w:p w14:paraId="79521DD5">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ascii="宋体" w:hAnsi="宋体" w:eastAsia="宋体" w:cs="宋体"/>
          <w:sz w:val="24"/>
          <w:szCs w:val="24"/>
          <w:highlight w:val="none"/>
        </w:rPr>
        <w:t>本项目固定综合单价包含但不限于货物成本费、包装费、运输费、装卸费、检测检验费、耗材、税费、风险费、售后服务等完成本项目供货的一切相关费用。除合同另有约定外，</w:t>
      </w:r>
      <w:r>
        <w:rPr>
          <w:rFonts w:hint="eastAsia" w:ascii="宋体" w:hAnsi="宋体" w:eastAsia="宋体" w:cs="宋体"/>
          <w:sz w:val="24"/>
          <w:szCs w:val="24"/>
          <w:highlight w:val="none"/>
          <w:lang w:val="en-US" w:eastAsia="zh-CN"/>
        </w:rPr>
        <w:t>供货</w:t>
      </w:r>
      <w:r>
        <w:rPr>
          <w:rFonts w:ascii="宋体" w:hAnsi="宋体" w:eastAsia="宋体" w:cs="宋体"/>
          <w:sz w:val="24"/>
          <w:szCs w:val="24"/>
          <w:highlight w:val="none"/>
        </w:rPr>
        <w:t>期内采购人不再另行增加任何费用</w:t>
      </w:r>
      <w:r>
        <w:rPr>
          <w:rFonts w:hint="eastAsia" w:asciiTheme="minorEastAsia" w:hAnsiTheme="minorEastAsia" w:eastAsiaTheme="minorEastAsia" w:cstheme="minorEastAsia"/>
          <w:bCs/>
          <w:sz w:val="24"/>
          <w:szCs w:val="24"/>
          <w:highlight w:val="none"/>
        </w:rPr>
        <w:t xml:space="preserve">。 </w:t>
      </w:r>
    </w:p>
    <w:p w14:paraId="72468510">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3、本项目综合单价固定包干、全程不变，不受市场材料、人工、物价涨跌等因素影响。最终结算金额以实际供货公斤数量为准，按中标综合单价据实结算。</w:t>
      </w:r>
    </w:p>
    <w:p w14:paraId="14448F64">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4、本项目最终结算总金额</w:t>
      </w:r>
      <w:r>
        <w:rPr>
          <w:rFonts w:hint="eastAsia" w:asciiTheme="minorEastAsia" w:hAnsiTheme="minorEastAsia" w:eastAsiaTheme="minorEastAsia" w:cstheme="minorEastAsia"/>
          <w:b/>
          <w:bCs/>
          <w:sz w:val="24"/>
          <w:szCs w:val="24"/>
          <w:highlight w:val="none"/>
          <w:u w:val="single"/>
          <w:lang w:val="en-US" w:eastAsia="zh-CN"/>
        </w:rPr>
        <w:t xml:space="preserve"> 不得超过本项目采购预算最高限价人民币1200000.00 元（大写：壹佰贰拾万元整）；其中应急药剂结算上限 650000.00 元，叶面肥结算上限 550000.00 元</w:t>
      </w:r>
      <w:r>
        <w:rPr>
          <w:rFonts w:hint="eastAsia" w:asciiTheme="minorEastAsia" w:hAnsiTheme="minorEastAsia" w:eastAsiaTheme="minorEastAsia" w:cstheme="minorEastAsia"/>
          <w:sz w:val="24"/>
          <w:szCs w:val="24"/>
          <w:highlight w:val="none"/>
          <w:lang w:val="en-US" w:eastAsia="zh-CN"/>
        </w:rPr>
        <w:t>。总金额或任意分项金额超出对应限额部分均不予结算、不予支付。</w:t>
      </w:r>
    </w:p>
    <w:p w14:paraId="14143ACC">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三、款项结算</w:t>
      </w:r>
    </w:p>
    <w:p w14:paraId="5A680BD9">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1、合同款的支付：合同签订后5个工作日内支付合同总价款的30%；全部物资供货到位后5个工作日内支付合同总价款的60%；物资验收合格、资料全部移交完成且专项资金到位后5个工作日内支付合同总价款的10%。</w:t>
      </w:r>
    </w:p>
    <w:p w14:paraId="131875D8">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2、结算方式：银行转账。</w:t>
      </w:r>
    </w:p>
    <w:p w14:paraId="1A212C34">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3、支付方式：</w:t>
      </w:r>
      <w:r>
        <w:rPr>
          <w:rFonts w:hint="eastAsia" w:asciiTheme="minorEastAsia" w:hAnsiTheme="minorEastAsia" w:eastAsiaTheme="minorEastAsia" w:cstheme="minorEastAsia"/>
          <w:sz w:val="24"/>
          <w:szCs w:val="24"/>
          <w:highlight w:val="none"/>
          <w:lang w:val="zh-CN" w:eastAsia="zh-CN"/>
        </w:rPr>
        <w:t>由</w:t>
      </w:r>
      <w:r>
        <w:rPr>
          <w:rFonts w:hint="eastAsia" w:asciiTheme="minorEastAsia" w:hAnsiTheme="minorEastAsia" w:eastAsia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lang w:val="zh-CN" w:eastAsia="zh-CN"/>
        </w:rPr>
        <w:t>负责结算，合同签订后，乙方在接受付款前，开具全额发票给甲方。</w:t>
      </w:r>
    </w:p>
    <w:p w14:paraId="3B0BEEF3">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四、供货期与供货地点</w:t>
      </w:r>
    </w:p>
    <w:p w14:paraId="447B36D0">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乙方在合同签订生效之日起，按甲方指定时间、地点交货。</w:t>
      </w:r>
    </w:p>
    <w:p w14:paraId="35B4EBD3">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1.供货期：2个月。</w:t>
      </w:r>
    </w:p>
    <w:p w14:paraId="3D2A4849">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2.供货地点：采购人指定地点。</w:t>
      </w:r>
    </w:p>
    <w:p w14:paraId="0E0D2D0B">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五、验收时间及依据</w:t>
      </w:r>
    </w:p>
    <w:p w14:paraId="1B96C1BA">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1、采购文件、响应文件；</w:t>
      </w:r>
    </w:p>
    <w:p w14:paraId="1FAD95FD">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2、本合同及附件文本；</w:t>
      </w:r>
    </w:p>
    <w:p w14:paraId="4F4CCC98">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3、国家及行业现行的标准和技术规范。</w:t>
      </w:r>
    </w:p>
    <w:p w14:paraId="62B08C18">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六、包装要求与运输方式   </w:t>
      </w:r>
    </w:p>
    <w:p w14:paraId="6C55AD38">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1、包装：货物包装应采取防潮、防晒、防腐蚀、防震动及防磕碰损坏的防护措施。成交人承担因包装或防护措施不当而造成货物损坏和丢失产生的损失及费用。</w:t>
      </w:r>
    </w:p>
    <w:p w14:paraId="0035980D">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2、运输：选择运输风险小、运费低、距离短的运输路线。运杂费一次包死在总价内，包括出场到交货地点所需的装卸、运输（含保险费）、现场保管费、二次倒运费等费用。</w:t>
      </w:r>
    </w:p>
    <w:p w14:paraId="7F9C323D">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七、货物验收</w:t>
      </w:r>
    </w:p>
    <w:p w14:paraId="6736CD62">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1、交货验收时，乙方须提供货物合格证、检验报告等等资料交付给甲方；</w:t>
      </w:r>
    </w:p>
    <w:p w14:paraId="717D3511">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2、到货验收：货物到达后，按合同第一条的货物清单逐一核对，同时检查货物外观，是否有划痕或破损的，并做好相应记录；</w:t>
      </w:r>
    </w:p>
    <w:p w14:paraId="4F463F82">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3、质量验收标准或规范：本项目供货全过程须符合国家、地方、行业现行规范标准及采购文件相关要求，达到质量合格标准。</w:t>
      </w:r>
    </w:p>
    <w:p w14:paraId="6B7A539A">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4、产品质保期：应急药剂质保期为2年，叶面肥质保期为2年。质保期自货物完成验收合格之日起开始计算。</w:t>
      </w:r>
    </w:p>
    <w:p w14:paraId="127D696B">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八、保密条款</w:t>
      </w:r>
    </w:p>
    <w:p w14:paraId="6DCCA15C">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合同双方中的任何一方在合作过程中了解或接触到的对方的商业秘密及其他秘密资料和信息（简称“保密信息”）均应保守秘密；未经对方书面同意，任何一方不得向媒介公开或向第三方透露、给予或转让保密信息。泄密的一方将对 另一方因此而受到的损失负完全赔偿责任并承担相应的法律责任。</w:t>
      </w:r>
    </w:p>
    <w:p w14:paraId="16E290FF">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九、违约责任</w:t>
      </w:r>
    </w:p>
    <w:p w14:paraId="535A6142">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1、按《中华人民共和国民法典》中的相关条款执行。</w:t>
      </w:r>
    </w:p>
    <w:p w14:paraId="4EDBB959">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2、乙方必须按合同要求的提供产品，否则，甲方会同监督机构、采购代理机构有权终止合同并对乙方违约行为进行追究，同时按政府采购投标人管理办法进行相应的处罚。</w:t>
      </w:r>
    </w:p>
    <w:p w14:paraId="2B12276D">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3、任何一方因不可抗力原因不能履行协议时，应尽快通知对方，双方均设法补偿。如仍无法履约协议，可协商延缓或撤销协议，双方责任免除。</w:t>
      </w:r>
    </w:p>
    <w:p w14:paraId="5C3785FE">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十、争议的解决</w:t>
      </w:r>
    </w:p>
    <w:p w14:paraId="3309444C">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1、因货物的质量问题发生争议，由质量技术监督部门或其指定的质量鉴定机构进行质量鉴定。货物符合标准的，鉴定费由甲方承担；货物不符合质量标准的，鉴定费由乙方承担。</w:t>
      </w:r>
    </w:p>
    <w:p w14:paraId="01DA3A1A">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2、因履行本合同引起的或与本合同有关的争议，甲、乙双方应首先通过友好协商解决，如果协商不成，则采取以下第1种方式解决争议：</w:t>
      </w:r>
    </w:p>
    <w:p w14:paraId="1910C30F">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（1）向甲方所在地有管辖权的人民法院提起诉讼；</w:t>
      </w:r>
    </w:p>
    <w:p w14:paraId="41BA5D9C">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（2）向</w:t>
      </w:r>
      <w:r>
        <w:rPr>
          <w:rFonts w:hint="eastAsia" w:asciiTheme="minorEastAsia" w:hAnsiTheme="minorEastAsia" w:eastAsiaTheme="minorEastAsia" w:cstheme="minorEastAsia"/>
          <w:sz w:val="24"/>
          <w:szCs w:val="24"/>
          <w:highlight w:val="none"/>
          <w:u w:val="single"/>
          <w:lang w:val="en-US" w:eastAsia="zh-CN"/>
        </w:rPr>
        <w:t xml:space="preserve">  / </w:t>
      </w:r>
      <w:r>
        <w:rPr>
          <w:rFonts w:hint="eastAsia" w:asciiTheme="minorEastAsia" w:hAnsiTheme="minorEastAsia" w:eastAsiaTheme="minorEastAsia" w:cstheme="minorEastAsia"/>
          <w:sz w:val="24"/>
          <w:szCs w:val="24"/>
          <w:highlight w:val="none"/>
          <w:lang w:val="en-US" w:eastAsia="zh-CN"/>
        </w:rPr>
        <w:t>仲裁委员会按其仲裁规则申请仲裁。</w:t>
      </w:r>
    </w:p>
    <w:p w14:paraId="64B3EFEA">
      <w:pPr>
        <w:keepNext w:val="0"/>
        <w:keepLines w:val="0"/>
        <w:pageBreakBefore w:val="0"/>
        <w:widowControl/>
        <w:numPr>
          <w:ilvl w:val="0"/>
          <w:numId w:val="0"/>
        </w:numPr>
        <w:wordWrap/>
        <w:overflowPunct/>
        <w:topLinePunct w:val="0"/>
        <w:autoSpaceDE w:val="0"/>
        <w:autoSpaceDN w:val="0"/>
        <w:bidi w:val="0"/>
        <w:adjustRightInd w:val="0"/>
        <w:spacing w:line="500" w:lineRule="exact"/>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十一、合同生效及其他</w:t>
      </w:r>
    </w:p>
    <w:p w14:paraId="7596645E">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1、本合同经双方签字盖章后生效。</w:t>
      </w:r>
    </w:p>
    <w:p w14:paraId="006594D7">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2、本合同须经甲、乙双方的法定代表人（授权代理人）在合同书上签字并加盖本单位公章后正式生效。</w:t>
      </w:r>
    </w:p>
    <w:p w14:paraId="7DA0C0FD">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3、合同生效后，甲、乙双方须严格执行本合同条款的规定，全面履行合同，违者按《中华人民共和国民法典》的有关规定承担相应责任。</w:t>
      </w:r>
    </w:p>
    <w:p w14:paraId="60294182">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份，甲乙双方各执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份。</w:t>
      </w:r>
    </w:p>
    <w:p w14:paraId="592553D1">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5、本合同如有未尽事宜，甲、乙双方协商解决，依法订立补充合同。</w:t>
      </w:r>
    </w:p>
    <w:p w14:paraId="7447EC10">
      <w:pPr>
        <w:keepNext w:val="0"/>
        <w:keepLines w:val="0"/>
        <w:pageBreakBefore w:val="0"/>
        <w:widowControl/>
        <w:wordWrap/>
        <w:overflowPunct/>
        <w:topLinePunct w:val="0"/>
        <w:autoSpaceDE w:val="0"/>
        <w:autoSpaceDN w:val="0"/>
        <w:bidi w:val="0"/>
        <w:adjustRightInd w:val="0"/>
        <w:spacing w:line="500" w:lineRule="exact"/>
        <w:ind w:firstLine="480" w:firstLineChars="200"/>
        <w:textAlignment w:val="baseline"/>
        <w:rPr>
          <w:rFonts w:hint="eastAsia" w:asciiTheme="minorEastAsia" w:hAnsiTheme="minorEastAsia" w:eastAsiaTheme="minorEastAsia" w:cstheme="minorEastAsia"/>
          <w:sz w:val="24"/>
          <w:szCs w:val="24"/>
          <w:highlight w:val="none"/>
          <w:lang w:val="en-US" w:eastAsia="zh-CN"/>
        </w:rPr>
      </w:pPr>
    </w:p>
    <w:p w14:paraId="7E84AD91">
      <w:pPr>
        <w:keepNext w:val="0"/>
        <w:keepLines w:val="0"/>
        <w:pageBreakBefore w:val="0"/>
        <w:widowControl/>
        <w:wordWrap/>
        <w:overflowPunct/>
        <w:topLinePunct w:val="0"/>
        <w:autoSpaceDE w:val="0"/>
        <w:autoSpaceDN w:val="0"/>
        <w:bidi w:val="0"/>
        <w:adjustRightInd w:val="0"/>
        <w:spacing w:line="500" w:lineRule="exact"/>
        <w:textAlignment w:val="baseline"/>
        <w:rPr>
          <w:rFonts w:hint="eastAsia"/>
        </w:rPr>
      </w:pPr>
      <w:r>
        <w:rPr>
          <w:rFonts w:hint="eastAsia" w:asciiTheme="minorEastAsia" w:hAnsiTheme="minorEastAsia" w:eastAsiaTheme="minorEastAsia" w:cstheme="minorEastAsia"/>
          <w:sz w:val="24"/>
          <w:szCs w:val="24"/>
          <w:highlight w:val="none"/>
          <w:lang w:val="en-US" w:eastAsia="zh-CN"/>
        </w:rPr>
        <w:t>后附：分项报价表。</w:t>
      </w:r>
    </w:p>
    <w:p w14:paraId="4B7142DD">
      <w:pPr>
        <w:keepNext w:val="0"/>
        <w:keepLines w:val="0"/>
        <w:pageBreakBefore w:val="0"/>
        <w:widowControl w:val="0"/>
        <w:kinsoku/>
        <w:wordWrap/>
        <w:overflowPunct/>
        <w:topLinePunct w:val="0"/>
        <w:bidi w:val="0"/>
        <w:adjustRightInd/>
        <w:spacing w:line="500" w:lineRule="exact"/>
        <w:textAlignment w:val="auto"/>
        <w:rPr>
          <w:rFonts w:hint="eastAsia"/>
        </w:rPr>
      </w:pPr>
    </w:p>
    <w:p w14:paraId="43E79041">
      <w:pPr>
        <w:keepNext w:val="0"/>
        <w:keepLines w:val="0"/>
        <w:pageBreakBefore w:val="0"/>
        <w:widowControl w:val="0"/>
        <w:kinsoku/>
        <w:wordWrap/>
        <w:overflowPunct/>
        <w:topLinePunct w:val="0"/>
        <w:bidi w:val="0"/>
        <w:adjustRightInd/>
        <w:spacing w:line="500" w:lineRule="exact"/>
        <w:textAlignment w:val="auto"/>
        <w:rPr>
          <w:rFonts w:hint="eastAsia"/>
        </w:rPr>
      </w:pPr>
    </w:p>
    <w:p w14:paraId="082A6F31">
      <w:pPr>
        <w:keepNext w:val="0"/>
        <w:keepLines w:val="0"/>
        <w:pageBreakBefore w:val="0"/>
        <w:widowControl w:val="0"/>
        <w:kinsoku/>
        <w:wordWrap/>
        <w:overflowPunct/>
        <w:topLinePunct w:val="0"/>
        <w:bidi w:val="0"/>
        <w:adjustRightInd/>
        <w:spacing w:line="500" w:lineRule="exact"/>
        <w:textAlignment w:val="auto"/>
        <w:rPr>
          <w:rFonts w:hint="eastAsia"/>
        </w:rPr>
      </w:pPr>
    </w:p>
    <w:p w14:paraId="2A513998">
      <w:pPr>
        <w:keepNext w:val="0"/>
        <w:keepLines w:val="0"/>
        <w:pageBreakBefore w:val="0"/>
        <w:widowControl w:val="0"/>
        <w:kinsoku/>
        <w:wordWrap/>
        <w:overflowPunct/>
        <w:topLinePunct w:val="0"/>
        <w:bidi w:val="0"/>
        <w:adjustRightInd/>
        <w:spacing w:line="500" w:lineRule="exact"/>
        <w:textAlignment w:val="auto"/>
        <w:rPr>
          <w:rFonts w:hint="eastAsia"/>
        </w:rPr>
      </w:pPr>
    </w:p>
    <w:p w14:paraId="2E6DAA59">
      <w:pPr>
        <w:keepNext w:val="0"/>
        <w:keepLines w:val="0"/>
        <w:pageBreakBefore w:val="0"/>
        <w:widowControl w:val="0"/>
        <w:kinsoku/>
        <w:wordWrap/>
        <w:overflowPunct/>
        <w:topLinePunct w:val="0"/>
        <w:bidi w:val="0"/>
        <w:adjustRightInd/>
        <w:spacing w:line="500" w:lineRule="exact"/>
        <w:textAlignment w:val="auto"/>
        <w:rPr>
          <w:rFonts w:hint="eastAsia"/>
        </w:rPr>
      </w:pPr>
    </w:p>
    <w:p w14:paraId="7219D528">
      <w:pPr>
        <w:keepNext w:val="0"/>
        <w:keepLines w:val="0"/>
        <w:pageBreakBefore w:val="0"/>
        <w:widowControl w:val="0"/>
        <w:kinsoku/>
        <w:wordWrap/>
        <w:overflowPunct/>
        <w:topLinePunct w:val="0"/>
        <w:bidi w:val="0"/>
        <w:adjustRightInd/>
        <w:spacing w:line="500" w:lineRule="exact"/>
        <w:textAlignment w:val="auto"/>
        <w:rPr>
          <w:rFonts w:hint="eastAsia"/>
        </w:rPr>
      </w:pPr>
    </w:p>
    <w:p w14:paraId="26640866">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 xml:space="preserve">甲方：   （盖章）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乙方：   （盖章）</w:t>
      </w:r>
    </w:p>
    <w:p w14:paraId="159452EF">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法定代表人/授权代表：              法定代表人/授权代表：</w:t>
      </w:r>
    </w:p>
    <w:p w14:paraId="322E6E0F">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地    址：                         地    址：</w:t>
      </w:r>
    </w:p>
    <w:p w14:paraId="176A4FDB">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开户银行：                         开户银行：</w:t>
      </w:r>
    </w:p>
    <w:p w14:paraId="49FA94F7">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账    号：                         账    号：</w:t>
      </w:r>
    </w:p>
    <w:p w14:paraId="60EB4472">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电    话：                         电    话：</w:t>
      </w:r>
    </w:p>
    <w:p w14:paraId="4BBB1F15">
      <w:pPr>
        <w:keepNext w:val="0"/>
        <w:keepLines w:val="0"/>
        <w:pageBreakBefore w:val="0"/>
        <w:widowControl w:val="0"/>
        <w:kinsoku/>
        <w:wordWrap/>
        <w:overflowPunct/>
        <w:topLinePunct w:val="0"/>
        <w:bidi w:val="0"/>
        <w:adjustRightInd/>
        <w:spacing w:line="450" w:lineRule="exact"/>
        <w:ind w:firstLine="422" w:firstLineChars="176"/>
        <w:textAlignment w:val="auto"/>
        <w:rPr>
          <w:rFonts w:hint="eastAsia" w:ascii="宋体" w:hAnsi="宋体" w:cs="宋体"/>
          <w:sz w:val="24"/>
        </w:rPr>
      </w:pPr>
      <w:r>
        <w:rPr>
          <w:rFonts w:hint="eastAsia" w:ascii="宋体" w:hAnsi="宋体" w:cs="宋体"/>
          <w:sz w:val="24"/>
        </w:rPr>
        <w:t>传    真：                         传    真：</w:t>
      </w:r>
    </w:p>
    <w:p w14:paraId="6D1BE644">
      <w:pPr>
        <w:keepNext w:val="0"/>
        <w:keepLines w:val="0"/>
        <w:pageBreakBefore w:val="0"/>
        <w:widowControl w:val="0"/>
        <w:kinsoku/>
        <w:wordWrap/>
        <w:overflowPunct/>
        <w:topLinePunct w:val="0"/>
        <w:bidi w:val="0"/>
        <w:adjustRightInd/>
        <w:spacing w:line="450" w:lineRule="exact"/>
        <w:ind w:firstLine="480" w:firstLineChars="200"/>
        <w:jc w:val="left"/>
        <w:textAlignment w:val="auto"/>
        <w:rPr>
          <w:rFonts w:hint="eastAsia" w:ascii="宋体" w:hAnsi="宋体" w:cs="宋体"/>
          <w:sz w:val="24"/>
        </w:rPr>
      </w:pPr>
      <w:r>
        <w:rPr>
          <w:rFonts w:hint="eastAsia" w:ascii="宋体" w:hAnsi="宋体" w:cs="宋体"/>
          <w:sz w:val="24"/>
        </w:rPr>
        <w:t>签约日期：    年  月  日           签约日期：    年  月  日</w:t>
      </w:r>
    </w:p>
    <w:p w14:paraId="70373325">
      <w:pPr>
        <w:pStyle w:val="2"/>
        <w:rPr>
          <w:rFonts w:hint="eastAsia" w:ascii="宋体" w:hAnsi="宋体" w:cs="宋体"/>
          <w:sz w:val="24"/>
        </w:rPr>
      </w:pPr>
    </w:p>
    <w:p w14:paraId="1E1BDA8E"/>
    <w:p w14:paraId="38677FA5">
      <w:pPr>
        <w:rPr>
          <w:rFonts w:hint="eastAsia" w:ascii="宋体" w:hAnsi="宋体" w:eastAsia="宋体" w:cs="宋体"/>
          <w:spacing w:val="1"/>
          <w:sz w:val="21"/>
          <w:szCs w:val="21"/>
        </w:rPr>
      </w:pPr>
      <w:r>
        <w:rPr>
          <w:rFonts w:hint="eastAsia" w:ascii="宋体" w:hAnsi="宋体" w:eastAsia="宋体" w:cs="宋体"/>
          <w:spacing w:val="1"/>
          <w:sz w:val="21"/>
          <w:szCs w:val="21"/>
        </w:rPr>
        <w:br w:type="page"/>
      </w:r>
    </w:p>
    <w:p w14:paraId="64831CB7">
      <w:pPr>
        <w:jc w:val="both"/>
        <w:rPr>
          <w:rFonts w:hint="eastAsia"/>
          <w:b/>
          <w:bCs/>
          <w:sz w:val="24"/>
          <w:szCs w:val="32"/>
          <w:lang w:val="en-US" w:eastAsia="zh-CN"/>
        </w:rPr>
      </w:pPr>
      <w:r>
        <w:rPr>
          <w:rFonts w:hint="eastAsia"/>
          <w:b/>
          <w:bCs/>
          <w:sz w:val="24"/>
          <w:szCs w:val="32"/>
          <w:lang w:val="en-US" w:eastAsia="zh-CN"/>
        </w:rPr>
        <w:t>附件：</w:t>
      </w:r>
    </w:p>
    <w:p w14:paraId="48D7DEFC">
      <w:pPr>
        <w:jc w:val="center"/>
        <w:rPr>
          <w:rFonts w:hint="eastAsia"/>
          <w:b/>
          <w:bCs/>
          <w:sz w:val="40"/>
          <w:szCs w:val="48"/>
          <w:lang w:val="en-US" w:eastAsia="zh-CN"/>
        </w:rPr>
      </w:pPr>
      <w:r>
        <w:rPr>
          <w:rFonts w:hint="eastAsia"/>
          <w:b/>
          <w:bCs/>
          <w:sz w:val="40"/>
          <w:szCs w:val="48"/>
          <w:lang w:val="en-US" w:eastAsia="zh-CN"/>
        </w:rPr>
        <w:t>分项报价表</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
        <w:gridCol w:w="1524"/>
        <w:gridCol w:w="1155"/>
        <w:gridCol w:w="903"/>
        <w:gridCol w:w="736"/>
        <w:gridCol w:w="1012"/>
        <w:gridCol w:w="945"/>
        <w:gridCol w:w="987"/>
        <w:gridCol w:w="1460"/>
      </w:tblGrid>
      <w:tr w14:paraId="3C20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226" w:type="pct"/>
            <w:noWrap w:val="0"/>
            <w:tcMar>
              <w:top w:w="11" w:type="dxa"/>
              <w:left w:w="57" w:type="dxa"/>
              <w:bottom w:w="11" w:type="dxa"/>
              <w:right w:w="57" w:type="dxa"/>
            </w:tcMar>
            <w:vAlign w:val="center"/>
          </w:tcPr>
          <w:p w14:paraId="754BC22A">
            <w:pPr>
              <w:adjustRightInd w:val="0"/>
              <w:snapToGrid w:val="0"/>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序号</w:t>
            </w:r>
          </w:p>
        </w:tc>
        <w:tc>
          <w:tcPr>
            <w:tcW w:w="834" w:type="pct"/>
            <w:noWrap w:val="0"/>
            <w:tcMar>
              <w:top w:w="11" w:type="dxa"/>
              <w:left w:w="57" w:type="dxa"/>
              <w:bottom w:w="11" w:type="dxa"/>
              <w:right w:w="57" w:type="dxa"/>
            </w:tcMar>
            <w:vAlign w:val="center"/>
          </w:tcPr>
          <w:p w14:paraId="65AD0E5E">
            <w:pPr>
              <w:adjustRightInd w:val="0"/>
              <w:snapToGrid w:val="0"/>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货物</w:t>
            </w:r>
            <w:r>
              <w:rPr>
                <w:rFonts w:hint="eastAsia" w:asciiTheme="minorEastAsia" w:hAnsiTheme="minorEastAsia" w:eastAsiaTheme="minorEastAsia" w:cstheme="minorEastAsia"/>
                <w:b w:val="0"/>
                <w:bCs/>
                <w:color w:val="auto"/>
                <w:sz w:val="24"/>
                <w:szCs w:val="24"/>
              </w:rPr>
              <w:t>名称</w:t>
            </w:r>
          </w:p>
        </w:tc>
        <w:tc>
          <w:tcPr>
            <w:tcW w:w="632" w:type="pct"/>
            <w:shd w:val="clear" w:color="auto" w:fill="auto"/>
            <w:noWrap w:val="0"/>
            <w:tcMar>
              <w:top w:w="11" w:type="dxa"/>
              <w:left w:w="57" w:type="dxa"/>
              <w:bottom w:w="11" w:type="dxa"/>
              <w:right w:w="57" w:type="dxa"/>
            </w:tcMar>
            <w:vAlign w:val="center"/>
          </w:tcPr>
          <w:p w14:paraId="152CFE86">
            <w:pPr>
              <w:adjustRightInd w:val="0"/>
              <w:snapToGrid w:val="0"/>
              <w:jc w:val="center"/>
              <w:rPr>
                <w:rFonts w:hint="eastAsia" w:asciiTheme="minorEastAsia" w:hAnsiTheme="minorEastAsia" w:eastAsiaTheme="minorEastAsia" w:cstheme="minorEastAsia"/>
                <w:b w:val="0"/>
                <w:bCs/>
                <w:color w:val="auto"/>
                <w:kern w:val="2"/>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rPr>
              <w:t>规格</w:t>
            </w:r>
            <w:r>
              <w:rPr>
                <w:rFonts w:hint="eastAsia" w:asciiTheme="minorEastAsia" w:hAnsiTheme="minorEastAsia" w:eastAsiaTheme="minorEastAsia" w:cstheme="minorEastAsia"/>
                <w:b w:val="0"/>
                <w:bCs/>
                <w:color w:val="auto"/>
                <w:sz w:val="24"/>
                <w:szCs w:val="24"/>
              </w:rPr>
              <w:t>型号</w:t>
            </w:r>
          </w:p>
        </w:tc>
        <w:tc>
          <w:tcPr>
            <w:tcW w:w="494" w:type="pct"/>
            <w:noWrap w:val="0"/>
            <w:tcMar>
              <w:top w:w="11" w:type="dxa"/>
              <w:left w:w="57" w:type="dxa"/>
              <w:bottom w:w="11" w:type="dxa"/>
              <w:right w:w="57" w:type="dxa"/>
            </w:tcMar>
            <w:vAlign w:val="center"/>
          </w:tcPr>
          <w:p w14:paraId="6E64BB77">
            <w:pPr>
              <w:adjustRightInd w:val="0"/>
              <w:snapToGrid w:val="0"/>
              <w:jc w:val="center"/>
              <w:rPr>
                <w:rFonts w:hint="default"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品牌</w:t>
            </w:r>
          </w:p>
        </w:tc>
        <w:tc>
          <w:tcPr>
            <w:tcW w:w="403" w:type="pct"/>
            <w:noWrap w:val="0"/>
            <w:tcMar>
              <w:top w:w="11" w:type="dxa"/>
              <w:left w:w="57" w:type="dxa"/>
              <w:bottom w:w="11" w:type="dxa"/>
              <w:right w:w="57" w:type="dxa"/>
            </w:tcMar>
            <w:vAlign w:val="center"/>
          </w:tcPr>
          <w:p w14:paraId="1CBD9DCA">
            <w:pPr>
              <w:adjustRightInd w:val="0"/>
              <w:snapToGrid w:val="0"/>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lang w:val="en-US" w:eastAsia="zh-CN"/>
              </w:rPr>
              <w:t>产地</w:t>
            </w:r>
          </w:p>
        </w:tc>
        <w:tc>
          <w:tcPr>
            <w:tcW w:w="554" w:type="pct"/>
            <w:noWrap w:val="0"/>
            <w:tcMar>
              <w:top w:w="11" w:type="dxa"/>
              <w:left w:w="57" w:type="dxa"/>
              <w:bottom w:w="11" w:type="dxa"/>
              <w:right w:w="57" w:type="dxa"/>
            </w:tcMar>
            <w:vAlign w:val="center"/>
          </w:tcPr>
          <w:p w14:paraId="52519A18">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制造商</w:t>
            </w:r>
          </w:p>
          <w:p w14:paraId="6E2176C0">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名称</w:t>
            </w:r>
          </w:p>
        </w:tc>
        <w:tc>
          <w:tcPr>
            <w:tcW w:w="517" w:type="pct"/>
            <w:noWrap w:val="0"/>
            <w:tcMar>
              <w:top w:w="11" w:type="dxa"/>
              <w:left w:w="57" w:type="dxa"/>
              <w:bottom w:w="11" w:type="dxa"/>
              <w:right w:w="57" w:type="dxa"/>
            </w:tcMar>
            <w:vAlign w:val="center"/>
          </w:tcPr>
          <w:p w14:paraId="52FB1AFB">
            <w:pPr>
              <w:adjustRightInd w:val="0"/>
              <w:snapToGrid w:val="0"/>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单价</w:t>
            </w:r>
          </w:p>
          <w:p w14:paraId="6E29F534">
            <w:pPr>
              <w:adjustRightInd w:val="0"/>
              <w:snapToGrid w:val="0"/>
              <w:jc w:val="center"/>
              <w:rPr>
                <w:rFonts w:hint="eastAsia" w:asciiTheme="minorEastAsia" w:hAnsiTheme="minorEastAsia" w:eastAsiaTheme="minorEastAsia" w:cstheme="minorEastAsia"/>
                <w:b w:val="0"/>
                <w:bCs/>
                <w:color w:val="auto"/>
                <w:sz w:val="24"/>
                <w:szCs w:val="24"/>
              </w:rPr>
            </w:pPr>
            <w:r>
              <w:rPr>
                <w:rFonts w:hint="eastAsia" w:asciiTheme="minorEastAsia" w:hAnsiTheme="minorEastAsia" w:eastAsiaTheme="minorEastAsia" w:cstheme="minorEastAsia"/>
                <w:b w:val="0"/>
                <w:bCs/>
                <w:color w:val="auto"/>
                <w:sz w:val="24"/>
                <w:szCs w:val="24"/>
              </w:rPr>
              <w:t>（元</w:t>
            </w:r>
            <w:r>
              <w:rPr>
                <w:rFonts w:hint="eastAsia" w:asciiTheme="minorEastAsia" w:hAnsiTheme="minorEastAsia" w:eastAsiaTheme="minorEastAsia" w:cstheme="minorEastAsia"/>
                <w:b w:val="0"/>
                <w:bCs/>
                <w:color w:val="auto"/>
                <w:sz w:val="24"/>
                <w:szCs w:val="24"/>
                <w:lang w:val="en-US" w:eastAsia="zh-CN"/>
              </w:rPr>
              <w:t>/公斤</w:t>
            </w:r>
            <w:r>
              <w:rPr>
                <w:rFonts w:hint="eastAsia" w:asciiTheme="minorEastAsia" w:hAnsiTheme="minorEastAsia" w:eastAsiaTheme="minorEastAsia" w:cstheme="minorEastAsia"/>
                <w:b w:val="0"/>
                <w:bCs/>
                <w:color w:val="auto"/>
                <w:sz w:val="24"/>
                <w:szCs w:val="24"/>
              </w:rPr>
              <w:t>）</w:t>
            </w:r>
          </w:p>
        </w:tc>
        <w:tc>
          <w:tcPr>
            <w:tcW w:w="540" w:type="pct"/>
            <w:noWrap w:val="0"/>
            <w:tcMar>
              <w:top w:w="11" w:type="dxa"/>
              <w:left w:w="57" w:type="dxa"/>
              <w:bottom w:w="11" w:type="dxa"/>
              <w:right w:w="57" w:type="dxa"/>
            </w:tcMar>
            <w:vAlign w:val="center"/>
          </w:tcPr>
          <w:p w14:paraId="37F028EE">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数量</w:t>
            </w:r>
          </w:p>
          <w:p w14:paraId="69922FF9">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（公斤）</w:t>
            </w:r>
          </w:p>
        </w:tc>
        <w:tc>
          <w:tcPr>
            <w:tcW w:w="797" w:type="pct"/>
            <w:noWrap w:val="0"/>
            <w:tcMar>
              <w:top w:w="11" w:type="dxa"/>
              <w:left w:w="57" w:type="dxa"/>
              <w:bottom w:w="11" w:type="dxa"/>
              <w:right w:w="57" w:type="dxa"/>
            </w:tcMar>
            <w:vAlign w:val="center"/>
          </w:tcPr>
          <w:p w14:paraId="3AE3C475">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备注</w:t>
            </w:r>
          </w:p>
        </w:tc>
      </w:tr>
      <w:tr w14:paraId="7D61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26" w:type="pct"/>
            <w:noWrap w:val="0"/>
            <w:tcMar>
              <w:top w:w="11" w:type="dxa"/>
              <w:left w:w="57" w:type="dxa"/>
              <w:bottom w:w="11" w:type="dxa"/>
              <w:right w:w="57" w:type="dxa"/>
            </w:tcMar>
            <w:vAlign w:val="center"/>
          </w:tcPr>
          <w:p w14:paraId="09D12BF8">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1</w:t>
            </w:r>
          </w:p>
        </w:tc>
        <w:tc>
          <w:tcPr>
            <w:tcW w:w="834" w:type="pct"/>
            <w:noWrap w:val="0"/>
            <w:tcMar>
              <w:top w:w="11" w:type="dxa"/>
              <w:left w:w="57" w:type="dxa"/>
              <w:bottom w:w="11" w:type="dxa"/>
              <w:right w:w="57" w:type="dxa"/>
            </w:tcMar>
            <w:vAlign w:val="center"/>
          </w:tcPr>
          <w:p w14:paraId="377D748D">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杀菌剂及亩用量：40%丙硫菌·戊唑醇悬浮剂，30毫升/亩</w:t>
            </w:r>
          </w:p>
        </w:tc>
        <w:tc>
          <w:tcPr>
            <w:tcW w:w="632" w:type="pct"/>
            <w:shd w:val="clear" w:color="auto" w:fill="auto"/>
            <w:noWrap w:val="0"/>
            <w:tcMar>
              <w:top w:w="11" w:type="dxa"/>
              <w:left w:w="57" w:type="dxa"/>
              <w:bottom w:w="11" w:type="dxa"/>
              <w:right w:w="57" w:type="dxa"/>
            </w:tcMar>
            <w:vAlign w:val="center"/>
          </w:tcPr>
          <w:p w14:paraId="40F49829">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494" w:type="pct"/>
            <w:noWrap w:val="0"/>
            <w:tcMar>
              <w:top w:w="11" w:type="dxa"/>
              <w:left w:w="57" w:type="dxa"/>
              <w:bottom w:w="11" w:type="dxa"/>
              <w:right w:w="57" w:type="dxa"/>
            </w:tcMar>
            <w:vAlign w:val="center"/>
          </w:tcPr>
          <w:p w14:paraId="0DC2A89B">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403" w:type="pct"/>
            <w:noWrap w:val="0"/>
            <w:tcMar>
              <w:top w:w="11" w:type="dxa"/>
              <w:left w:w="57" w:type="dxa"/>
              <w:bottom w:w="11" w:type="dxa"/>
              <w:right w:w="57" w:type="dxa"/>
            </w:tcMar>
            <w:vAlign w:val="center"/>
          </w:tcPr>
          <w:p w14:paraId="2A44B845">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54" w:type="pct"/>
            <w:noWrap w:val="0"/>
            <w:tcMar>
              <w:top w:w="11" w:type="dxa"/>
              <w:left w:w="57" w:type="dxa"/>
              <w:bottom w:w="11" w:type="dxa"/>
              <w:right w:w="57" w:type="dxa"/>
            </w:tcMar>
            <w:vAlign w:val="center"/>
          </w:tcPr>
          <w:p w14:paraId="42E9E4C9">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17" w:type="pct"/>
            <w:noWrap w:val="0"/>
            <w:tcMar>
              <w:top w:w="11" w:type="dxa"/>
              <w:left w:w="57" w:type="dxa"/>
              <w:bottom w:w="11" w:type="dxa"/>
              <w:right w:w="57" w:type="dxa"/>
            </w:tcMar>
            <w:vAlign w:val="center"/>
          </w:tcPr>
          <w:p w14:paraId="011A1EB0">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40" w:type="pct"/>
            <w:noWrap w:val="0"/>
            <w:tcMar>
              <w:top w:w="11" w:type="dxa"/>
              <w:left w:w="57" w:type="dxa"/>
              <w:bottom w:w="11" w:type="dxa"/>
              <w:right w:w="57" w:type="dxa"/>
            </w:tcMar>
            <w:vAlign w:val="center"/>
          </w:tcPr>
          <w:p w14:paraId="7FF8FA1C">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797" w:type="pct"/>
            <w:noWrap w:val="0"/>
            <w:tcMar>
              <w:top w:w="11" w:type="dxa"/>
              <w:left w:w="57" w:type="dxa"/>
              <w:bottom w:w="11" w:type="dxa"/>
              <w:right w:w="57" w:type="dxa"/>
            </w:tcMar>
            <w:vAlign w:val="center"/>
          </w:tcPr>
          <w:p w14:paraId="7200547E">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所供应农药最大包装不大于200毫升/瓶。</w:t>
            </w:r>
          </w:p>
        </w:tc>
      </w:tr>
      <w:tr w14:paraId="3D9B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26" w:type="pct"/>
            <w:noWrap w:val="0"/>
            <w:tcMar>
              <w:top w:w="11" w:type="dxa"/>
              <w:left w:w="57" w:type="dxa"/>
              <w:bottom w:w="11" w:type="dxa"/>
              <w:right w:w="57" w:type="dxa"/>
            </w:tcMar>
            <w:vAlign w:val="center"/>
          </w:tcPr>
          <w:p w14:paraId="32866D74">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2</w:t>
            </w:r>
          </w:p>
        </w:tc>
        <w:tc>
          <w:tcPr>
            <w:tcW w:w="834" w:type="pct"/>
            <w:noWrap w:val="0"/>
            <w:tcMar>
              <w:top w:w="11" w:type="dxa"/>
              <w:left w:w="57" w:type="dxa"/>
              <w:bottom w:w="11" w:type="dxa"/>
              <w:right w:w="57" w:type="dxa"/>
            </w:tcMar>
            <w:vAlign w:val="center"/>
          </w:tcPr>
          <w:p w14:paraId="00311A44">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叶面肥：98%膨化闪溶磷酸二氢钾</w:t>
            </w:r>
          </w:p>
        </w:tc>
        <w:tc>
          <w:tcPr>
            <w:tcW w:w="632" w:type="pct"/>
            <w:noWrap w:val="0"/>
            <w:tcMar>
              <w:top w:w="11" w:type="dxa"/>
              <w:left w:w="57" w:type="dxa"/>
              <w:bottom w:w="11" w:type="dxa"/>
              <w:right w:w="57" w:type="dxa"/>
            </w:tcMar>
            <w:vAlign w:val="center"/>
          </w:tcPr>
          <w:p w14:paraId="28702107">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494" w:type="pct"/>
            <w:noWrap w:val="0"/>
            <w:tcMar>
              <w:top w:w="11" w:type="dxa"/>
              <w:left w:w="57" w:type="dxa"/>
              <w:bottom w:w="11" w:type="dxa"/>
              <w:right w:w="57" w:type="dxa"/>
            </w:tcMar>
            <w:vAlign w:val="center"/>
          </w:tcPr>
          <w:p w14:paraId="5C216A9D">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403" w:type="pct"/>
            <w:noWrap w:val="0"/>
            <w:tcMar>
              <w:top w:w="11" w:type="dxa"/>
              <w:left w:w="57" w:type="dxa"/>
              <w:bottom w:w="11" w:type="dxa"/>
              <w:right w:w="57" w:type="dxa"/>
            </w:tcMar>
            <w:vAlign w:val="center"/>
          </w:tcPr>
          <w:p w14:paraId="6BD6D325">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54" w:type="pct"/>
            <w:noWrap w:val="0"/>
            <w:tcMar>
              <w:top w:w="11" w:type="dxa"/>
              <w:left w:w="57" w:type="dxa"/>
              <w:bottom w:w="11" w:type="dxa"/>
              <w:right w:w="57" w:type="dxa"/>
            </w:tcMar>
            <w:vAlign w:val="center"/>
          </w:tcPr>
          <w:p w14:paraId="3350D054">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17" w:type="pct"/>
            <w:noWrap w:val="0"/>
            <w:tcMar>
              <w:top w:w="11" w:type="dxa"/>
              <w:left w:w="57" w:type="dxa"/>
              <w:bottom w:w="11" w:type="dxa"/>
              <w:right w:w="57" w:type="dxa"/>
            </w:tcMar>
            <w:vAlign w:val="center"/>
          </w:tcPr>
          <w:p w14:paraId="6B90184E">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540" w:type="pct"/>
            <w:noWrap w:val="0"/>
            <w:tcMar>
              <w:top w:w="11" w:type="dxa"/>
              <w:left w:w="57" w:type="dxa"/>
              <w:bottom w:w="11" w:type="dxa"/>
              <w:right w:w="57" w:type="dxa"/>
            </w:tcMar>
            <w:vAlign w:val="center"/>
          </w:tcPr>
          <w:p w14:paraId="5318FEDA">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p>
        </w:tc>
        <w:tc>
          <w:tcPr>
            <w:tcW w:w="797" w:type="pct"/>
            <w:noWrap w:val="0"/>
            <w:tcMar>
              <w:top w:w="11" w:type="dxa"/>
              <w:left w:w="57" w:type="dxa"/>
              <w:bottom w:w="11" w:type="dxa"/>
              <w:right w:w="57" w:type="dxa"/>
            </w:tcMar>
            <w:vAlign w:val="center"/>
          </w:tcPr>
          <w:p w14:paraId="775FC8B4">
            <w:pPr>
              <w:adjustRightInd w:val="0"/>
              <w:snapToGrid w:val="0"/>
              <w:jc w:val="center"/>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所供应叶面肥最大包装不大于500克/袋</w:t>
            </w:r>
          </w:p>
        </w:tc>
      </w:tr>
      <w:tr w14:paraId="1361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060" w:type="pct"/>
            <w:gridSpan w:val="2"/>
            <w:noWrap w:val="0"/>
            <w:tcMar>
              <w:top w:w="11" w:type="dxa"/>
              <w:left w:w="57" w:type="dxa"/>
              <w:bottom w:w="11" w:type="dxa"/>
              <w:right w:w="57" w:type="dxa"/>
            </w:tcMar>
            <w:vAlign w:val="center"/>
          </w:tcPr>
          <w:p w14:paraId="4BEB014A">
            <w:pPr>
              <w:adjustRightInd w:val="0"/>
              <w:snapToGrid w:val="0"/>
              <w:jc w:val="center"/>
              <w:rPr>
                <w:rFonts w:hint="eastAsia" w:asciiTheme="minorEastAsia" w:hAnsiTheme="minorEastAsia" w:eastAsiaTheme="minorEastAsia" w:cstheme="minorEastAsia"/>
                <w:b w:val="0"/>
                <w:bCs/>
                <w:color w:val="auto"/>
                <w:sz w:val="24"/>
                <w:szCs w:val="24"/>
                <w:lang w:eastAsia="zh-CN"/>
              </w:rPr>
            </w:pPr>
            <w:r>
              <w:rPr>
                <w:rFonts w:hint="eastAsia" w:asciiTheme="minorEastAsia" w:hAnsiTheme="minorEastAsia" w:eastAsiaTheme="minorEastAsia" w:cstheme="minorEastAsia"/>
                <w:b w:val="0"/>
                <w:bCs/>
                <w:color w:val="auto"/>
                <w:sz w:val="24"/>
                <w:szCs w:val="24"/>
              </w:rPr>
              <w:t>总计</w:t>
            </w:r>
            <w:r>
              <w:rPr>
                <w:rFonts w:hint="eastAsia" w:asciiTheme="minorEastAsia" w:hAnsiTheme="minorEastAsia" w:eastAsiaTheme="minorEastAsia" w:cstheme="minorEastAsia"/>
                <w:b w:val="0"/>
                <w:bCs/>
                <w:color w:val="auto"/>
                <w:sz w:val="24"/>
                <w:szCs w:val="24"/>
                <w:lang w:eastAsia="zh-CN"/>
              </w:rPr>
              <w:t>（</w:t>
            </w:r>
            <w:r>
              <w:rPr>
                <w:rFonts w:hint="eastAsia" w:asciiTheme="minorEastAsia" w:hAnsiTheme="minorEastAsia" w:eastAsiaTheme="minorEastAsia" w:cstheme="minorEastAsia"/>
                <w:b w:val="0"/>
                <w:bCs/>
                <w:color w:val="auto"/>
                <w:sz w:val="24"/>
                <w:szCs w:val="24"/>
                <w:lang w:val="en-US" w:eastAsia="zh-CN"/>
              </w:rPr>
              <w:t>元</w:t>
            </w:r>
            <w:r>
              <w:rPr>
                <w:rFonts w:hint="eastAsia" w:asciiTheme="minorEastAsia" w:hAnsiTheme="minorEastAsia" w:eastAsiaTheme="minorEastAsia" w:cstheme="minorEastAsia"/>
                <w:b w:val="0"/>
                <w:bCs/>
                <w:color w:val="auto"/>
                <w:sz w:val="24"/>
                <w:szCs w:val="24"/>
                <w:lang w:eastAsia="zh-CN"/>
              </w:rPr>
              <w:t>）</w:t>
            </w:r>
          </w:p>
        </w:tc>
        <w:tc>
          <w:tcPr>
            <w:tcW w:w="3939" w:type="pct"/>
            <w:gridSpan w:val="7"/>
            <w:noWrap w:val="0"/>
            <w:tcMar>
              <w:top w:w="11" w:type="dxa"/>
              <w:left w:w="57" w:type="dxa"/>
              <w:bottom w:w="11" w:type="dxa"/>
              <w:right w:w="57" w:type="dxa"/>
            </w:tcMar>
            <w:vAlign w:val="center"/>
          </w:tcPr>
          <w:p w14:paraId="162BAF98">
            <w:pPr>
              <w:adjustRightInd w:val="0"/>
              <w:snapToGrid w:val="0"/>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大写：</w:t>
            </w:r>
          </w:p>
          <w:p w14:paraId="3659C051">
            <w:pPr>
              <w:adjustRightInd w:val="0"/>
              <w:snapToGrid w:val="0"/>
              <w:jc w:val="both"/>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小写：</w:t>
            </w:r>
          </w:p>
        </w:tc>
      </w:tr>
    </w:tbl>
    <w:p w14:paraId="5A49C13B">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firstLine="480" w:firstLineChars="200"/>
        <w:textAlignment w:val="auto"/>
        <w:rPr>
          <w:rFonts w:hint="eastAsia" w:ascii="Segoe UI" w:hAnsi="Segoe UI" w:eastAsia="宋体" w:cs="Segoe UI"/>
          <w:i w:val="0"/>
          <w:iCs w:val="0"/>
          <w:caps w:val="0"/>
          <w:color w:val="0F1115"/>
          <w:spacing w:val="0"/>
          <w:sz w:val="24"/>
          <w:szCs w:val="24"/>
          <w:shd w:val="clear" w:fill="FFFFFF"/>
          <w:lang w:eastAsia="zh-CN"/>
        </w:rPr>
      </w:pPr>
      <w:r>
        <w:rPr>
          <w:rFonts w:hint="eastAsia" w:asciiTheme="minorEastAsia" w:hAnsiTheme="minorEastAsia" w:eastAsiaTheme="minorEastAsia" w:cstheme="minorEastAsia"/>
          <w:snapToGrid w:val="0"/>
          <w:color w:val="auto"/>
          <w:kern w:val="0"/>
          <w:sz w:val="24"/>
          <w:szCs w:val="24"/>
        </w:rPr>
        <w:t>注</w:t>
      </w:r>
      <w:r>
        <w:rPr>
          <w:rFonts w:hint="eastAsia" w:asciiTheme="minorEastAsia" w:hAnsiTheme="minorEastAsia" w:eastAsiaTheme="minorEastAsia" w:cstheme="minorEastAsia"/>
          <w:snapToGrid w:val="0"/>
          <w:color w:val="auto"/>
          <w:kern w:val="0"/>
          <w:sz w:val="24"/>
          <w:szCs w:val="24"/>
          <w:highlight w:val="none"/>
        </w:rPr>
        <w:t>：</w:t>
      </w:r>
      <w:r>
        <w:rPr>
          <w:rFonts w:hint="eastAsia" w:asciiTheme="minorEastAsia" w:hAnsiTheme="minorEastAsia" w:eastAsiaTheme="minorEastAsia" w:cstheme="minorEastAsia"/>
          <w:snapToGrid w:val="0"/>
          <w:color w:val="auto"/>
          <w:kern w:val="0"/>
          <w:sz w:val="24"/>
          <w:szCs w:val="24"/>
          <w:highlight w:val="none"/>
          <w:lang w:val="en-US" w:eastAsia="zh-CN"/>
        </w:rPr>
        <w:t>1、</w:t>
      </w:r>
      <w:r>
        <w:rPr>
          <w:rFonts w:hint="eastAsia" w:ascii="宋体" w:hAnsi="宋体" w:eastAsia="宋体" w:cs="宋体"/>
          <w:snapToGrid w:val="0"/>
          <w:color w:val="000000"/>
          <w:kern w:val="0"/>
          <w:sz w:val="24"/>
          <w:szCs w:val="24"/>
          <w:highlight w:val="none"/>
          <w:lang w:val="en-US" w:eastAsia="zh-CN" w:bidi="ar-SA"/>
        </w:rPr>
        <w:t>采购一批以小麦赤霉病为主的应急防治杀菌剂暂定为7065公斤。采购以促进小麦灌浆增粒重为主的叶面肥</w:t>
      </w:r>
      <w:r>
        <w:rPr>
          <w:rFonts w:hint="eastAsia" w:asciiTheme="minorEastAsia" w:hAnsiTheme="minorEastAsia" w:eastAsiaTheme="minorEastAsia" w:cstheme="minorEastAsia"/>
          <w:snapToGrid w:val="0"/>
          <w:color w:val="000000"/>
          <w:kern w:val="0"/>
          <w:sz w:val="24"/>
          <w:szCs w:val="24"/>
          <w:highlight w:val="none"/>
          <w:lang w:val="en-US" w:eastAsia="zh-CN" w:bidi="ar-SA"/>
        </w:rPr>
        <w:t>暂定为</w:t>
      </w:r>
      <w:r>
        <w:rPr>
          <w:rFonts w:hint="eastAsia" w:ascii="宋体" w:hAnsi="宋体" w:eastAsia="宋体" w:cs="宋体"/>
          <w:snapToGrid w:val="0"/>
          <w:color w:val="000000"/>
          <w:kern w:val="0"/>
          <w:sz w:val="24"/>
          <w:szCs w:val="24"/>
          <w:highlight w:val="none"/>
          <w:lang w:val="en-US" w:eastAsia="zh-CN" w:bidi="ar-SA"/>
        </w:rPr>
        <w:t>19298公斤。</w:t>
      </w:r>
      <w:r>
        <w:rPr>
          <w:rFonts w:ascii="Segoe UI" w:hAnsi="Segoe UI" w:eastAsia="Segoe UI" w:cs="Segoe UI"/>
          <w:i w:val="0"/>
          <w:iCs w:val="0"/>
          <w:caps w:val="0"/>
          <w:color w:val="0F1115"/>
          <w:spacing w:val="0"/>
          <w:sz w:val="24"/>
          <w:szCs w:val="24"/>
          <w:shd w:val="clear" w:fill="FFFFFF"/>
        </w:rPr>
        <w:t>最终结算金额以实际供货</w:t>
      </w:r>
      <w:r>
        <w:rPr>
          <w:rFonts w:hint="eastAsia" w:ascii="Segoe UI" w:hAnsi="Segoe UI" w:eastAsia="宋体" w:cs="Segoe UI"/>
          <w:i w:val="0"/>
          <w:iCs w:val="0"/>
          <w:caps w:val="0"/>
          <w:color w:val="0F1115"/>
          <w:spacing w:val="0"/>
          <w:sz w:val="24"/>
          <w:szCs w:val="24"/>
          <w:shd w:val="clear" w:fill="FFFFFF"/>
          <w:lang w:val="en-US" w:eastAsia="zh-CN"/>
        </w:rPr>
        <w:t>公斤</w:t>
      </w:r>
      <w:r>
        <w:rPr>
          <w:rFonts w:ascii="Segoe UI" w:hAnsi="Segoe UI" w:eastAsia="Segoe UI" w:cs="Segoe UI"/>
          <w:i w:val="0"/>
          <w:iCs w:val="0"/>
          <w:caps w:val="0"/>
          <w:color w:val="0F1115"/>
          <w:spacing w:val="0"/>
          <w:sz w:val="24"/>
          <w:szCs w:val="24"/>
          <w:shd w:val="clear" w:fill="FFFFFF"/>
        </w:rPr>
        <w:t>数量为准，按中标综合单价据实结算</w:t>
      </w:r>
      <w:r>
        <w:rPr>
          <w:rFonts w:hint="eastAsia" w:ascii="Segoe UI" w:hAnsi="Segoe UI" w:eastAsia="宋体" w:cs="Segoe UI"/>
          <w:i w:val="0"/>
          <w:iCs w:val="0"/>
          <w:caps w:val="0"/>
          <w:color w:val="0F1115"/>
          <w:spacing w:val="0"/>
          <w:sz w:val="24"/>
          <w:szCs w:val="24"/>
          <w:shd w:val="clear" w:fill="FFFFFF"/>
          <w:lang w:eastAsia="zh-CN"/>
        </w:rPr>
        <w:t>。</w:t>
      </w:r>
    </w:p>
    <w:p w14:paraId="7ED70696">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firstLine="480" w:firstLineChars="200"/>
        <w:textAlignment w:val="auto"/>
        <w:rPr>
          <w:rFonts w:hint="eastAsia" w:ascii="宋体" w:hAnsi="宋体" w:eastAsia="宋体" w:cs="宋体"/>
          <w:spacing w:val="0"/>
          <w:sz w:val="24"/>
          <w:szCs w:val="24"/>
          <w:highlight w:val="none"/>
        </w:rPr>
      </w:pPr>
      <w:r>
        <w:rPr>
          <w:rFonts w:hint="eastAsia" w:ascii="宋体" w:hAnsi="宋体" w:cs="宋体"/>
          <w:b w:val="0"/>
          <w:bCs w:val="0"/>
          <w:spacing w:val="0"/>
          <w:sz w:val="24"/>
          <w:szCs w:val="24"/>
          <w:highlight w:val="none"/>
          <w:u w:val="none"/>
          <w:lang w:val="en-US" w:eastAsia="zh-CN"/>
        </w:rPr>
        <w:t>2、</w:t>
      </w:r>
      <w:r>
        <w:rPr>
          <w:rFonts w:hint="eastAsia" w:ascii="宋体" w:hAnsi="宋体" w:eastAsia="宋体" w:cs="宋体"/>
          <w:b w:val="0"/>
          <w:bCs w:val="0"/>
          <w:spacing w:val="0"/>
          <w:sz w:val="24"/>
          <w:szCs w:val="24"/>
          <w:highlight w:val="none"/>
          <w:u w:val="none"/>
          <w:lang w:val="en-US" w:eastAsia="zh-CN"/>
        </w:rPr>
        <w:t>应急药剂单价限价92.00元/公斤；叶面肥单价限价28.50元/公斤。</w:t>
      </w:r>
      <w:r>
        <w:rPr>
          <w:rFonts w:hint="eastAsia" w:ascii="宋体" w:hAnsi="宋体" w:eastAsia="宋体" w:cs="宋体"/>
          <w:b w:val="0"/>
          <w:bCs w:val="0"/>
          <w:spacing w:val="0"/>
          <w:sz w:val="24"/>
          <w:szCs w:val="24"/>
          <w:highlight w:val="none"/>
          <w:u w:val="none"/>
        </w:rPr>
        <w:t>供应商</w:t>
      </w:r>
      <w:r>
        <w:rPr>
          <w:rFonts w:ascii="宋体" w:hAnsi="宋体" w:eastAsia="宋体" w:cs="宋体"/>
          <w:b w:val="0"/>
          <w:bCs w:val="0"/>
          <w:sz w:val="24"/>
          <w:szCs w:val="24"/>
          <w:highlight w:val="none"/>
          <w:u w:val="none"/>
        </w:rPr>
        <w:t>单</w:t>
      </w:r>
      <w:r>
        <w:rPr>
          <w:rFonts w:ascii="宋体" w:hAnsi="宋体" w:eastAsia="宋体" w:cs="宋体"/>
          <w:sz w:val="24"/>
          <w:szCs w:val="24"/>
          <w:highlight w:val="none"/>
        </w:rPr>
        <w:t>价报价高于对应单价限价的</w:t>
      </w:r>
      <w:r>
        <w:rPr>
          <w:rFonts w:hint="eastAsia" w:cs="宋体"/>
          <w:spacing w:val="0"/>
          <w:sz w:val="24"/>
          <w:szCs w:val="24"/>
          <w:highlight w:val="none"/>
          <w:lang w:eastAsia="zh-CN"/>
        </w:rPr>
        <w:t>，</w:t>
      </w:r>
      <w:r>
        <w:rPr>
          <w:rFonts w:hint="eastAsia" w:cs="宋体"/>
          <w:spacing w:val="0"/>
          <w:sz w:val="24"/>
          <w:szCs w:val="24"/>
          <w:highlight w:val="none"/>
          <w:lang w:val="en-US" w:eastAsia="zh-CN"/>
        </w:rPr>
        <w:t>或</w:t>
      </w:r>
      <w:r>
        <w:rPr>
          <w:rFonts w:hint="eastAsia" w:cs="宋体"/>
          <w:spacing w:val="0"/>
          <w:sz w:val="24"/>
          <w:szCs w:val="24"/>
          <w:highlight w:val="none"/>
          <w:lang w:eastAsia="zh-CN"/>
        </w:rPr>
        <w:t>单项</w:t>
      </w:r>
      <w:r>
        <w:rPr>
          <w:rFonts w:hint="eastAsia" w:cs="宋体"/>
          <w:spacing w:val="0"/>
          <w:sz w:val="24"/>
          <w:szCs w:val="24"/>
          <w:highlight w:val="none"/>
          <w:lang w:val="en-US" w:eastAsia="zh-CN"/>
        </w:rPr>
        <w:t>投标</w:t>
      </w:r>
      <w:r>
        <w:rPr>
          <w:rFonts w:hint="eastAsia" w:cs="宋体"/>
          <w:spacing w:val="0"/>
          <w:sz w:val="24"/>
          <w:szCs w:val="24"/>
          <w:highlight w:val="none"/>
          <w:lang w:eastAsia="zh-CN"/>
        </w:rPr>
        <w:t>总价高于对应分项</w:t>
      </w:r>
      <w:r>
        <w:rPr>
          <w:rFonts w:hint="eastAsia" w:cs="宋体"/>
          <w:spacing w:val="0"/>
          <w:sz w:val="24"/>
          <w:szCs w:val="24"/>
          <w:highlight w:val="none"/>
          <w:lang w:val="en-US" w:eastAsia="zh-CN"/>
        </w:rPr>
        <w:t>采购预算</w:t>
      </w:r>
      <w:r>
        <w:rPr>
          <w:rFonts w:hint="eastAsia" w:cs="宋体"/>
          <w:spacing w:val="0"/>
          <w:sz w:val="24"/>
          <w:szCs w:val="24"/>
          <w:highlight w:val="none"/>
          <w:lang w:eastAsia="zh-CN"/>
        </w:rPr>
        <w:t>的，</w:t>
      </w:r>
      <w:r>
        <w:rPr>
          <w:rFonts w:hint="eastAsia" w:cs="宋体"/>
          <w:spacing w:val="0"/>
          <w:sz w:val="24"/>
          <w:szCs w:val="24"/>
          <w:highlight w:val="none"/>
          <w:lang w:val="en-US" w:eastAsia="zh-CN"/>
        </w:rPr>
        <w:t>则</w:t>
      </w:r>
      <w:r>
        <w:rPr>
          <w:rFonts w:hint="eastAsia" w:ascii="宋体" w:hAnsi="宋体" w:eastAsia="宋体" w:cs="宋体"/>
          <w:spacing w:val="0"/>
          <w:sz w:val="24"/>
          <w:szCs w:val="24"/>
          <w:highlight w:val="none"/>
        </w:rPr>
        <w:t>其投标文件将按无效投标文件处理。</w:t>
      </w:r>
    </w:p>
    <w:p w14:paraId="7ED4B5BD">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firstLine="480" w:firstLineChars="200"/>
        <w:textAlignment w:val="auto"/>
        <w:rPr>
          <w:rFonts w:hint="eastAsia" w:asciiTheme="minorEastAsia" w:hAnsiTheme="minorEastAsia" w:eastAsiaTheme="minorEastAsia" w:cstheme="minorEastAsia"/>
          <w:snapToGrid w:val="0"/>
          <w:color w:val="auto"/>
          <w:kern w:val="0"/>
          <w:sz w:val="24"/>
          <w:szCs w:val="24"/>
          <w:lang w:val="en-US" w:eastAsia="zh-CN"/>
        </w:rPr>
      </w:pPr>
      <w:r>
        <w:rPr>
          <w:rFonts w:hint="eastAsia" w:asciiTheme="minorEastAsia" w:hAnsiTheme="minorEastAsia" w:eastAsiaTheme="minorEastAsia" w:cstheme="minorEastAsia"/>
          <w:snapToGrid w:val="0"/>
          <w:color w:val="auto"/>
          <w:kern w:val="0"/>
          <w:sz w:val="24"/>
          <w:szCs w:val="24"/>
          <w:highlight w:val="none"/>
          <w:lang w:val="en-US" w:eastAsia="zh-CN"/>
        </w:rPr>
        <w:t>3、货物单价为综合报价，是供应商正确、</w:t>
      </w:r>
      <w:r>
        <w:rPr>
          <w:rFonts w:hint="eastAsia" w:asciiTheme="minorEastAsia" w:hAnsiTheme="minorEastAsia" w:eastAsiaTheme="minorEastAsia" w:cstheme="minorEastAsia"/>
          <w:snapToGrid w:val="0"/>
          <w:color w:val="auto"/>
          <w:kern w:val="0"/>
          <w:sz w:val="24"/>
          <w:szCs w:val="24"/>
          <w:lang w:val="en-US" w:eastAsia="zh-CN"/>
        </w:rPr>
        <w:t>全面完成全部工作内容的全部报酬，供应商自行考虑项目完成过程中可能会发生的一切费用。供应商不得要求采购人在报价之外支付其它任何费用，否则费用由供应商自行承担。</w:t>
      </w:r>
    </w:p>
    <w:p w14:paraId="512639B1">
      <w:pPr>
        <w:keepNext w:val="0"/>
        <w:keepLines w:val="0"/>
        <w:pageBreakBefore w:val="0"/>
        <w:widowControl w:val="0"/>
        <w:numPr>
          <w:ilvl w:val="0"/>
          <w:numId w:val="0"/>
        </w:numPr>
        <w:kinsoku/>
        <w:wordWrap/>
        <w:overflowPunct/>
        <w:topLinePunct w:val="0"/>
        <w:autoSpaceDE/>
        <w:autoSpaceDN/>
        <w:bidi w:val="0"/>
        <w:adjustRightInd/>
        <w:snapToGrid/>
        <w:spacing w:line="370" w:lineRule="exact"/>
        <w:ind w:leftChars="200"/>
        <w:textAlignment w:val="auto"/>
        <w:rPr>
          <w:rFonts w:hint="eastAsia" w:ascii="宋体" w:hAnsi="宋体"/>
          <w:sz w:val="24"/>
          <w:szCs w:val="24"/>
          <w:highlight w:val="none"/>
        </w:rPr>
      </w:pPr>
      <w:r>
        <w:rPr>
          <w:rFonts w:hint="eastAsia" w:asciiTheme="minorEastAsia" w:hAnsiTheme="minorEastAsia" w:eastAsiaTheme="minorEastAsia" w:cstheme="minorEastAsia"/>
          <w:snapToGrid w:val="0"/>
          <w:color w:val="auto"/>
          <w:kern w:val="0"/>
          <w:sz w:val="24"/>
          <w:szCs w:val="24"/>
          <w:lang w:val="en-US" w:eastAsia="zh-CN"/>
        </w:rPr>
        <w:t>4、所报价格须用人民币元表示，保留小数点后两位。</w:t>
      </w:r>
    </w:p>
    <w:p w14:paraId="29D00A74">
      <w:pPr>
        <w:pStyle w:val="4"/>
        <w:spacing w:line="240" w:lineRule="auto"/>
        <w:ind w:firstLine="6240" w:firstLineChars="2600"/>
        <w:rPr>
          <w:rFonts w:hint="eastAsia" w:ascii="宋体" w:hAnsi="宋体"/>
          <w:sz w:val="24"/>
          <w:szCs w:val="24"/>
          <w:highlight w:val="none"/>
        </w:rPr>
      </w:pPr>
    </w:p>
    <w:p w14:paraId="0167D16A">
      <w:pPr>
        <w:rPr>
          <w:rFonts w:hint="eastAsia" w:ascii="宋体" w:hAnsi="宋体" w:cs="宋体"/>
          <w:b/>
          <w:bCs/>
          <w:spacing w:val="-2"/>
          <w:position w:val="2"/>
          <w:sz w:val="21"/>
          <w:szCs w:val="21"/>
          <w:lang w:val="en-US" w:eastAsia="zh-CN"/>
        </w:rPr>
      </w:pPr>
    </w:p>
    <w:sectPr>
      <w:footerReference r:id="rId4" w:type="default"/>
      <w:pgSz w:w="11906" w:h="16838"/>
      <w:pgMar w:top="1440" w:right="1440" w:bottom="144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ECE52">
    <w:pPr>
      <w:tabs>
        <w:tab w:val="center" w:pos="4153"/>
        <w:tab w:val="right" w:pos="8306"/>
      </w:tabs>
      <w:snapToGrid w:val="0"/>
      <w:ind w:right="360"/>
      <w:jc w:val="right"/>
      <w:textAlignment w:val="baseline"/>
      <w:rPr>
        <w:rFonts w:ascii="Times New Roman" w:hAnsi="Times New Roman" w:eastAsia="宋体" w:cs="Times New Roman"/>
        <w:sz w:val="18"/>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5A3D3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15A3D3C">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B1E87A5">
                          <w:pPr>
                            <w:tabs>
                              <w:tab w:val="center" w:pos="4153"/>
                              <w:tab w:val="right" w:pos="8306"/>
                            </w:tabs>
                            <w:snapToGrid w:val="0"/>
                            <w:jc w:val="left"/>
                            <w:textAlignment w:val="baseline"/>
                            <w:rPr>
                              <w:rFonts w:ascii="Times New Roman" w:hAnsi="Times New Roman" w:eastAsia="宋体" w:cs="Times New Roman"/>
                              <w:sz w:val="18"/>
                            </w:rPr>
                          </w:pPr>
                        </w:p>
                        <w:p w14:paraId="16121F56">
                          <w:pPr>
                            <w:widowControl/>
                            <w:textAlignment w:val="baseline"/>
                            <w:rPr>
                              <w:rFonts w:ascii="Times New Roman" w:hAnsi="Times New Roman" w:eastAsia="宋体" w:cs="Times New Roman"/>
                              <w:szCs w:val="20"/>
                            </w:rPr>
                          </w:pPr>
                        </w:p>
                      </w:txbxContent>
                    </wps:txbx>
                    <wps:bodyPr lIns="0" tIns="0" rIns="0" bIns="0" upright="1"/>
                  </wps:wsp>
                </a:graphicData>
              </a:graphic>
            </wp:anchor>
          </w:drawing>
        </mc:Choice>
        <mc:Fallback>
          <w:pict>
            <v:shape id="_x0000_s1026" o:spid="_x0000_s1026" o:spt="202" type="#_x0000_t202"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Z&#10;pPZA0gAAAAUBAAAPAAAAAAAAAAEAIAAAACIAAABkcnMvZG93bnJldi54bWxQSwECFAAUAAAACACH&#10;TuJA1eqOe7gBAACBAwAADgAAAAAAAAABACAAAAAhAQAAZHJzL2Uyb0RvYy54bWxQSwUGAAAAAAYA&#10;BgBZAQAASwUAAAAA&#10;">
              <v:fill on="f" focussize="0,0"/>
              <v:stroke on="f"/>
              <v:imagedata o:title=""/>
              <o:lock v:ext="edit" aspectratio="f"/>
              <v:textbox inset="0mm,0mm,0mm,0mm">
                <w:txbxContent>
                  <w:p w14:paraId="3B1E87A5">
                    <w:pPr>
                      <w:tabs>
                        <w:tab w:val="center" w:pos="4153"/>
                        <w:tab w:val="right" w:pos="8306"/>
                      </w:tabs>
                      <w:snapToGrid w:val="0"/>
                      <w:jc w:val="left"/>
                      <w:textAlignment w:val="baseline"/>
                      <w:rPr>
                        <w:rFonts w:ascii="Times New Roman" w:hAnsi="Times New Roman" w:eastAsia="宋体" w:cs="Times New Roman"/>
                        <w:sz w:val="18"/>
                      </w:rPr>
                    </w:pPr>
                  </w:p>
                  <w:p w14:paraId="16121F56">
                    <w:pPr>
                      <w:widowControl/>
                      <w:textAlignment w:val="baseline"/>
                      <w:rPr>
                        <w:rFonts w:ascii="Times New Roman" w:hAnsi="Times New Roman" w:eastAsia="宋体" w:cs="Times New Roman"/>
                        <w:szCs w:val="20"/>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C71C8">
    <w:pPr>
      <w:spacing w:line="172" w:lineRule="auto"/>
      <w:ind w:left="5017"/>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D9379">
                          <w:pPr>
                            <w:pStyle w:val="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60D9379">
                    <w:pPr>
                      <w:pStyle w:val="5"/>
                    </w:pPr>
                    <w:r>
                      <w:fldChar w:fldCharType="begin"/>
                    </w:r>
                    <w:r>
                      <w:instrText xml:space="preserve"> PAGE  \* MERGEFORMAT </w:instrText>
                    </w:r>
                    <w:r>
                      <w:fldChar w:fldCharType="separate"/>
                    </w:r>
                    <w:r>
                      <w:t>67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OTlmN2E3YjhjZTRkNzNjODg3YmU1MzU0NjU1NWIifQ=="/>
  </w:docVars>
  <w:rsids>
    <w:rsidRoot w:val="339E16E7"/>
    <w:rsid w:val="021D04ED"/>
    <w:rsid w:val="038E582A"/>
    <w:rsid w:val="06B64A6C"/>
    <w:rsid w:val="0942678F"/>
    <w:rsid w:val="0CA05FA3"/>
    <w:rsid w:val="0D685588"/>
    <w:rsid w:val="101A5D3D"/>
    <w:rsid w:val="104E37C3"/>
    <w:rsid w:val="108F025A"/>
    <w:rsid w:val="10D73F5D"/>
    <w:rsid w:val="11B61DC5"/>
    <w:rsid w:val="12B207DE"/>
    <w:rsid w:val="141F1EA3"/>
    <w:rsid w:val="14305E5E"/>
    <w:rsid w:val="14447B5C"/>
    <w:rsid w:val="154D0E1C"/>
    <w:rsid w:val="17024E3B"/>
    <w:rsid w:val="18221F62"/>
    <w:rsid w:val="1A1F2BFD"/>
    <w:rsid w:val="1A5B79AD"/>
    <w:rsid w:val="1EA71413"/>
    <w:rsid w:val="200F00C3"/>
    <w:rsid w:val="22573150"/>
    <w:rsid w:val="24294678"/>
    <w:rsid w:val="24613E12"/>
    <w:rsid w:val="25AE3087"/>
    <w:rsid w:val="25D725DE"/>
    <w:rsid w:val="26A8747C"/>
    <w:rsid w:val="2B836D64"/>
    <w:rsid w:val="2CA46447"/>
    <w:rsid w:val="310D15A9"/>
    <w:rsid w:val="311D7312"/>
    <w:rsid w:val="3126266B"/>
    <w:rsid w:val="313E1763"/>
    <w:rsid w:val="32911D66"/>
    <w:rsid w:val="33633703"/>
    <w:rsid w:val="339E16E7"/>
    <w:rsid w:val="33B37D23"/>
    <w:rsid w:val="34D83C7C"/>
    <w:rsid w:val="35CD20EA"/>
    <w:rsid w:val="37A977CE"/>
    <w:rsid w:val="38DA2E6D"/>
    <w:rsid w:val="3CAA6556"/>
    <w:rsid w:val="3EB72B54"/>
    <w:rsid w:val="3EED6576"/>
    <w:rsid w:val="3F9904AC"/>
    <w:rsid w:val="41662610"/>
    <w:rsid w:val="42AB29D0"/>
    <w:rsid w:val="441B5933"/>
    <w:rsid w:val="44E1092B"/>
    <w:rsid w:val="44F00B6E"/>
    <w:rsid w:val="44F06DC0"/>
    <w:rsid w:val="451F1453"/>
    <w:rsid w:val="4574354D"/>
    <w:rsid w:val="459F0398"/>
    <w:rsid w:val="48627FD5"/>
    <w:rsid w:val="48B325DE"/>
    <w:rsid w:val="4AA93C99"/>
    <w:rsid w:val="4AD30D16"/>
    <w:rsid w:val="4B5A4F93"/>
    <w:rsid w:val="4B6D35E7"/>
    <w:rsid w:val="4DB660C2"/>
    <w:rsid w:val="4EFE032C"/>
    <w:rsid w:val="4F1D6A04"/>
    <w:rsid w:val="51C23892"/>
    <w:rsid w:val="5253098E"/>
    <w:rsid w:val="54B94928"/>
    <w:rsid w:val="553B7BE4"/>
    <w:rsid w:val="56A768C7"/>
    <w:rsid w:val="574A2360"/>
    <w:rsid w:val="5BB16E51"/>
    <w:rsid w:val="5D6D6DA8"/>
    <w:rsid w:val="5DA30A1C"/>
    <w:rsid w:val="5E246F9E"/>
    <w:rsid w:val="5FE62E42"/>
    <w:rsid w:val="60996106"/>
    <w:rsid w:val="60CE5DB0"/>
    <w:rsid w:val="61B56F70"/>
    <w:rsid w:val="62483940"/>
    <w:rsid w:val="628801E0"/>
    <w:rsid w:val="6370314E"/>
    <w:rsid w:val="65DC4ACB"/>
    <w:rsid w:val="666F137B"/>
    <w:rsid w:val="667C005C"/>
    <w:rsid w:val="6690019F"/>
    <w:rsid w:val="670B19A6"/>
    <w:rsid w:val="6AF93C50"/>
    <w:rsid w:val="6BC71D79"/>
    <w:rsid w:val="6E1374F8"/>
    <w:rsid w:val="6E5A6ED5"/>
    <w:rsid w:val="70B0102E"/>
    <w:rsid w:val="70CE6331"/>
    <w:rsid w:val="70D0347E"/>
    <w:rsid w:val="71324139"/>
    <w:rsid w:val="73462427"/>
    <w:rsid w:val="748527D2"/>
    <w:rsid w:val="76FD2AF3"/>
    <w:rsid w:val="78D641C7"/>
    <w:rsid w:val="79782905"/>
    <w:rsid w:val="79DA711C"/>
    <w:rsid w:val="7E623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before="0" w:after="156" w:afterLines="50" w:line="360" w:lineRule="auto"/>
      <w:ind w:left="0" w:right="0"/>
      <w:jc w:val="both"/>
    </w:pPr>
    <w:rPr>
      <w:rFonts w:ascii="宋体" w:hAnsi="宋体" w:eastAsia="宋体" w:cs="Times New Roman"/>
      <w:color w:val="000000"/>
      <w:kern w:val="2"/>
      <w:sz w:val="24"/>
      <w:szCs w:val="24"/>
      <w:lang w:val="en-US" w:eastAsia="zh-CN" w:bidi="ar-SA"/>
    </w:rPr>
  </w:style>
  <w:style w:type="paragraph" w:styleId="3">
    <w:name w:val="Plain Text"/>
    <w:basedOn w:val="1"/>
    <w:qFormat/>
    <w:uiPriority w:val="0"/>
    <w:rPr>
      <w:rFonts w:ascii="宋体" w:hAnsi="Courier New" w:cs="Courier New"/>
      <w:szCs w:val="21"/>
    </w:rPr>
  </w:style>
  <w:style w:type="paragraph" w:styleId="4">
    <w:name w:val="Body Text Indent 2"/>
    <w:basedOn w:val="1"/>
    <w:qFormat/>
    <w:uiPriority w:val="0"/>
    <w:pPr>
      <w:spacing w:after="120" w:line="480" w:lineRule="auto"/>
      <w:ind w:left="420" w:leftChars="200"/>
    </w:pPr>
  </w:style>
  <w:style w:type="paragraph" w:styleId="5">
    <w:name w:val="footer"/>
    <w:basedOn w:val="1"/>
    <w:next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spacing w:beforeAutospacing="1" w:afterAutospacing="1"/>
      <w:jc w:val="left"/>
    </w:pPr>
    <w:rPr>
      <w:rFonts w:cs="Times New Roman"/>
      <w:kern w:val="0"/>
      <w:sz w:val="24"/>
    </w:rPr>
  </w:style>
  <w:style w:type="paragraph" w:styleId="7">
    <w:name w:val="Body Text First Indent"/>
    <w:basedOn w:val="2"/>
    <w:next w:val="1"/>
    <w:qFormat/>
    <w:uiPriority w:val="0"/>
    <w:pPr>
      <w:widowControl w:val="0"/>
      <w:spacing w:before="0" w:after="120" w:line="240" w:lineRule="auto"/>
      <w:ind w:left="0" w:right="0" w:firstLine="420" w:firstLineChars="100"/>
      <w:jc w:val="both"/>
    </w:pPr>
    <w:rPr>
      <w:rFonts w:ascii="Times New Roman" w:hAnsi="Times New Roman"/>
      <w:color w:val="auto"/>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qFormat/>
    <w:uiPriority w:val="0"/>
  </w:style>
  <w:style w:type="paragraph" w:customStyle="1" w:styleId="13">
    <w:name w:val=" Char Char4 Char Char Char Char"/>
    <w:basedOn w:val="1"/>
    <w:qFormat/>
    <w:uiPriority w:val="0"/>
    <w:pPr>
      <w:spacing w:line="440" w:lineRule="atLeast"/>
      <w:ind w:firstLine="482" w:firstLineChars="200"/>
    </w:pPr>
    <w:rPr>
      <w:rFonts w:ascii="宋体" w:hAnsi="宋体" w:eastAsia="宋体" w:cs="Times New Roman"/>
      <w:b/>
      <w:color w:val="000000"/>
      <w:sz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table" w:customStyle="1" w:styleId="16">
    <w:name w:val="Table Normal"/>
    <w:unhideWhenUsed/>
    <w:qFormat/>
    <w:uiPriority w:val="2"/>
    <w:tblPr>
      <w:tblCellMar>
        <w:top w:w="0" w:type="dxa"/>
        <w:left w:w="0" w:type="dxa"/>
        <w:bottom w:w="0" w:type="dxa"/>
        <w:right w:w="0" w:type="dxa"/>
      </w:tblCellMar>
    </w:tblPr>
  </w:style>
  <w:style w:type="paragraph" w:customStyle="1" w:styleId="17">
    <w:name w:val="样式 首行缩进:  2 字符"/>
    <w:qFormat/>
    <w:uiPriority w:val="0"/>
    <w:pPr>
      <w:spacing w:line="400" w:lineRule="exact"/>
      <w:ind w:firstLine="200" w:firstLineChars="200"/>
    </w:pPr>
    <w:rPr>
      <w:rFonts w:ascii="Calibri" w:hAnsi="Calibri" w:eastAsia="宋体" w:cs="宋体"/>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3335</Words>
  <Characters>3415</Characters>
  <Lines>0</Lines>
  <Paragraphs>0</Paragraphs>
  <TotalTime>1</TotalTime>
  <ScaleCrop>false</ScaleCrop>
  <LinksUpToDate>false</LinksUpToDate>
  <CharactersWithSpaces>3936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2024-05-22T08:25:00Z</dcterms:created>
  <dc:creator>DDS</dc:creator>
  <cp:lastModifiedBy>叶永健</cp:lastModifiedBy>
  <dcterms:modified xsi:type="dcterms:W3CDTF">2026-08-19T06:40:42Z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E6A470F53B664E64B7D98AF30F177AB8_13</vt:lpwstr>
  </property>
  <property fmtid="{D5CDD505-2E9C-101B-9397-08002B2CF9AE}" pid="4" name="KSOTemplateDocerSaveRecord">
    <vt:lpwstr>eyJoZGlkIjoiYmQ5Njc0NGJmNGI1MjExMjI0ODk4YWUxNGY2ZTE5MzAiLCJ1c2VySWQiOiI5ODE2OTIwMzQifQ==</vt:lpwstr>
  </property>
</Properties>
</file>