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版本号：BCC2026-02320260817001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宝鸡第一中学科技新城校区物业管理服务项目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BCC2026-023</w:t>
      </w:r>
      <w:r>
        <w:br/>
      </w:r>
      <w:r>
        <w:br/>
      </w:r>
      <w:r>
        <w:br/>
      </w:r>
    </w:p>
    <w:p>
      <w:pPr>
        <w:pStyle w:val="null3"/>
        <w:jc w:val="center"/>
        <w:outlineLvl w:val="2"/>
      </w:pPr>
      <w:r>
        <w:rPr>
          <w:rFonts w:ascii="仿宋_GB2312" w:hAnsi="仿宋_GB2312" w:cs="仿宋_GB2312" w:eastAsia="仿宋_GB2312"/>
          <w:sz w:val="28"/>
          <w:b/>
        </w:rPr>
        <w:t>宝鸡市第一中学</w:t>
      </w:r>
    </w:p>
    <w:p>
      <w:pPr>
        <w:pStyle w:val="null3"/>
        <w:jc w:val="center"/>
        <w:outlineLvl w:val="2"/>
      </w:pPr>
      <w:r>
        <w:rPr>
          <w:rFonts w:ascii="仿宋_GB2312" w:hAnsi="仿宋_GB2312" w:cs="仿宋_GB2312" w:eastAsia="仿宋_GB2312"/>
          <w:sz w:val="28"/>
          <w:b/>
        </w:rPr>
        <w:t>宝鸡市政府采购中心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宝鸡市政府采购中心</w:t>
      </w:r>
      <w:r>
        <w:rPr>
          <w:rFonts w:ascii="仿宋_GB2312" w:hAnsi="仿宋_GB2312" w:cs="仿宋_GB2312" w:eastAsia="仿宋_GB2312"/>
        </w:rPr>
        <w:t>（以下简称“代理机构”）受</w:t>
      </w:r>
      <w:r>
        <w:rPr>
          <w:rFonts w:ascii="仿宋_GB2312" w:hAnsi="仿宋_GB2312" w:cs="仿宋_GB2312" w:eastAsia="仿宋_GB2312"/>
        </w:rPr>
        <w:t>宝鸡市第一中学</w:t>
      </w:r>
      <w:r>
        <w:rPr>
          <w:rFonts w:ascii="仿宋_GB2312" w:hAnsi="仿宋_GB2312" w:cs="仿宋_GB2312" w:eastAsia="仿宋_GB2312"/>
        </w:rPr>
        <w:t>委托，拟对</w:t>
      </w:r>
      <w:r>
        <w:rPr>
          <w:rFonts w:ascii="仿宋_GB2312" w:hAnsi="仿宋_GB2312" w:cs="仿宋_GB2312" w:eastAsia="仿宋_GB2312"/>
        </w:rPr>
        <w:t>宝鸡第一中学科技新城校区物业管理服务项目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BCC2026-023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宝鸡第一中学科技新城校区物业管理服务项目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本项目为2026年度宝鸡市第一中学科技新城校区物业服务。包含保洁服务、保安服务、消防控制室服务、工程维修及绿化等涉及物业服务保障，服务工作必须始终坚持“高起点、高标准、 高质量”的服务水准，既要提供高质量的服务品质，又要适应学校特点，提供便捷高效、宁静温馨的学习生活环境。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采购包1（宝鸡市第一中学科技新城校区物业管理服务）：属于专门面向中小企业采购。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宝鸡市第一中学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宝鸡市金台区宝中路一号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宝鸡市第一中学经办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17868800142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宝鸡市政府采购中心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陕西省宝鸡市金台区宝鸡市行政大道8号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宝鸡市政府采购中心田玉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0917-3262179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宝鸡市财政局政府采购管理科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 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0917-3262072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说明：依据陕财办采〔2022〕5号、陕财办采函〔2022〕10号执行。履约验收合格后无息退还，不另收取质量保证金。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宝鸡市第一中学</w:t>
      </w:r>
      <w:r>
        <w:rPr>
          <w:rFonts w:ascii="仿宋_GB2312" w:hAnsi="仿宋_GB2312" w:cs="仿宋_GB2312" w:eastAsia="仿宋_GB2312"/>
        </w:rPr>
        <w:t>和</w:t>
      </w:r>
      <w:r>
        <w:rPr>
          <w:rFonts w:ascii="仿宋_GB2312" w:hAnsi="仿宋_GB2312" w:cs="仿宋_GB2312" w:eastAsia="仿宋_GB2312"/>
        </w:rPr>
        <w:t>宝鸡市政府采购中心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宝鸡市第一中学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宝鸡市政府采购中心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宝鸡市第一中学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宝鸡市政府采购中心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服务严格执行合同约定1年服务期限； 2. 履约保证金足额按要求提交，在服务全程保持有效； 3. 票据资料齐全，按合同约定履行开票义务； 4. 落实安全用工责任，服务期间发生安全事故由供应商承担相应责任； 5. 服务产生的台账、档案全部完整移交采购人，严格履行保密义务，无泄密情况； 6. 人员变更均经过采购人书面同意；服务期满完成完整工作交接；合同变更按政府采购法定程序办理； 7. 违约处置记录完整，接受财政、审计及主管部门监督检查，全部商务合同条款履行到位。</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宝鸡市政府采购中心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宝鸡市政府采购中心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宝鸡市政府采购中心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联系人：宝鸡市政府采购中心</w:t>
      </w:r>
    </w:p>
    <w:p>
      <w:pPr>
        <w:pStyle w:val="null3"/>
      </w:pPr>
      <w:r>
        <w:rPr>
          <w:rFonts w:ascii="仿宋_GB2312" w:hAnsi="仿宋_GB2312" w:cs="仿宋_GB2312" w:eastAsia="仿宋_GB2312"/>
        </w:rPr>
        <w:t>联系电话：0917-3262177</w:t>
      </w:r>
    </w:p>
    <w:p>
      <w:pPr>
        <w:pStyle w:val="null3"/>
      </w:pPr>
      <w:r>
        <w:rPr>
          <w:rFonts w:ascii="仿宋_GB2312" w:hAnsi="仿宋_GB2312" w:cs="仿宋_GB2312" w:eastAsia="仿宋_GB2312"/>
        </w:rPr>
        <w:t>地址：宝鸡市行政大道8号宝鸡市政府采购中心综合科624室</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本项目为2026年度宝鸡市第一中学科技新城校区物业服务。包含保洁服务、保安服务、消防控制室服务、工程维修及绿化等涉及物业服务保障，服务工作必须始终坚持“高起点、高标准、 高质量”的服务水准，既要提供高质量的服务品质，又要适应学校特点，提供便捷高效、宁静温馨的学习生活环境。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物业管理服务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left"/>
            </w:pPr>
            <w:r>
              <w:rPr>
                <w:rFonts w:ascii="仿宋_GB2312" w:hAnsi="仿宋_GB2312" w:cs="仿宋_GB2312" w:eastAsia="仿宋_GB2312"/>
                <w:sz w:val="32"/>
                <w:b/>
                <w:color w:val="000000"/>
              </w:rPr>
              <w:t>服务内容及要求</w:t>
            </w:r>
          </w:p>
          <w:p>
            <w:pPr>
              <w:pStyle w:val="null3"/>
              <w:ind w:firstLine="634"/>
              <w:jc w:val="left"/>
            </w:pPr>
            <w:r>
              <w:rPr>
                <w:rFonts w:ascii="仿宋_GB2312" w:hAnsi="仿宋_GB2312" w:cs="仿宋_GB2312" w:eastAsia="仿宋_GB2312"/>
                <w:sz w:val="32"/>
                <w:color w:val="000000"/>
              </w:rPr>
              <w:t>（</w:t>
            </w:r>
            <w:r>
              <w:rPr>
                <w:rFonts w:ascii="仿宋_GB2312" w:hAnsi="仿宋_GB2312" w:cs="仿宋_GB2312" w:eastAsia="仿宋_GB2312"/>
                <w:sz w:val="32"/>
                <w:color w:val="000000"/>
              </w:rPr>
              <w:t>一）保洁服务</w:t>
            </w:r>
          </w:p>
          <w:p>
            <w:pPr>
              <w:pStyle w:val="null3"/>
              <w:ind w:firstLine="644"/>
              <w:jc w:val="left"/>
            </w:pPr>
            <w:r>
              <w:rPr>
                <w:rFonts w:ascii="仿宋_GB2312" w:hAnsi="仿宋_GB2312" w:cs="仿宋_GB2312" w:eastAsia="仿宋_GB2312"/>
                <w:sz w:val="32"/>
                <w:color w:val="000000"/>
              </w:rPr>
              <w:t>负责全校院墙内外公共环境的清洁保洁，其中含全部楼宇屋顶、阳台、平台及公共区域门窗玻璃等；楼内大厅、门厅、电梯间、楼梯间、走廊通道、值班室、会议室、功能活动室、接待室、地下停车场、卫生间；校园外周界、人行道、行车道、校园广场等和绿化区域内的清洁保洁及生活垃圾的清理。</w:t>
            </w:r>
          </w:p>
          <w:p>
            <w:pPr>
              <w:pStyle w:val="null3"/>
              <w:ind w:firstLine="644"/>
              <w:jc w:val="left"/>
            </w:pPr>
            <w:r>
              <w:rPr>
                <w:rFonts w:ascii="仿宋_GB2312" w:hAnsi="仿宋_GB2312" w:cs="仿宋_GB2312" w:eastAsia="仿宋_GB2312"/>
                <w:sz w:val="32"/>
                <w:color w:val="000000"/>
              </w:rPr>
              <w:t>服务标准及要求</w:t>
            </w:r>
          </w:p>
          <w:p>
            <w:pPr>
              <w:pStyle w:val="null3"/>
              <w:ind w:firstLine="644"/>
              <w:jc w:val="left"/>
            </w:pPr>
            <w:r>
              <w:rPr>
                <w:rFonts w:ascii="仿宋_GB2312" w:hAnsi="仿宋_GB2312" w:cs="仿宋_GB2312" w:eastAsia="仿宋_GB2312"/>
                <w:sz w:val="32"/>
                <w:color w:val="000000"/>
              </w:rPr>
              <w:t>1.</w:t>
            </w:r>
            <w:r>
              <w:rPr>
                <w:rFonts w:ascii="仿宋_GB2312" w:hAnsi="仿宋_GB2312" w:cs="仿宋_GB2312" w:eastAsia="仿宋_GB2312"/>
                <w:sz w:val="32"/>
                <w:color w:val="000000"/>
              </w:rPr>
              <w:t>清扫时间</w:t>
            </w:r>
          </w:p>
          <w:p>
            <w:pPr>
              <w:pStyle w:val="null3"/>
              <w:ind w:firstLine="644"/>
              <w:jc w:val="left"/>
            </w:pPr>
            <w:r>
              <w:rPr>
                <w:rFonts w:ascii="仿宋_GB2312" w:hAnsi="仿宋_GB2312" w:cs="仿宋_GB2312" w:eastAsia="仿宋_GB2312"/>
                <w:sz w:val="32"/>
                <w:color w:val="000000"/>
              </w:rPr>
              <w:t>夏季、秋季在早上7:20前，春季、冬季在早上7:40前完成清扫工作，下午15:00前完成打扫工作，重大活动根据采购人要求随时清扫。</w:t>
            </w:r>
          </w:p>
          <w:p>
            <w:pPr>
              <w:pStyle w:val="null3"/>
              <w:ind w:firstLine="644"/>
              <w:jc w:val="left"/>
            </w:pPr>
            <w:r>
              <w:rPr>
                <w:rFonts w:ascii="仿宋_GB2312" w:hAnsi="仿宋_GB2312" w:cs="仿宋_GB2312" w:eastAsia="仿宋_GB2312"/>
                <w:sz w:val="32"/>
                <w:color w:val="000000"/>
              </w:rPr>
              <w:t>2.</w:t>
            </w:r>
            <w:r>
              <w:rPr>
                <w:rFonts w:ascii="仿宋_GB2312" w:hAnsi="仿宋_GB2312" w:cs="仿宋_GB2312" w:eastAsia="仿宋_GB2312"/>
                <w:sz w:val="32"/>
                <w:color w:val="000000"/>
              </w:rPr>
              <w:t>室内保洁</w:t>
            </w:r>
          </w:p>
          <w:p>
            <w:pPr>
              <w:pStyle w:val="null3"/>
              <w:ind w:firstLine="644"/>
              <w:jc w:val="left"/>
            </w:pPr>
            <w:r>
              <w:rPr>
                <w:rFonts w:ascii="仿宋_GB2312" w:hAnsi="仿宋_GB2312" w:cs="仿宋_GB2312" w:eastAsia="仿宋_GB2312"/>
                <w:sz w:val="32"/>
                <w:color w:val="000000"/>
              </w:rPr>
              <w:t>负责教学楼、办公楼室等建筑内楼道、走廊、楼梯、公共卫生间、大厅等区域日常保洁，每日清扫拖拭地面、擦拭扶手、窗台及各类柜体，及时清运垃圾，常态化开展卫生间清洁、消杀除臭，按需补给卫生耗材，做好日常巡回保洁，保持室内干净整洁、无积水污渍异味，错峰作业避免干扰教学秩序。</w:t>
            </w:r>
          </w:p>
          <w:p>
            <w:pPr>
              <w:pStyle w:val="null3"/>
              <w:ind w:firstLine="644"/>
              <w:jc w:val="left"/>
            </w:pPr>
            <w:r>
              <w:rPr>
                <w:rFonts w:ascii="仿宋_GB2312" w:hAnsi="仿宋_GB2312" w:cs="仿宋_GB2312" w:eastAsia="仿宋_GB2312"/>
                <w:sz w:val="32"/>
                <w:color w:val="000000"/>
              </w:rPr>
              <w:t>3.</w:t>
            </w:r>
            <w:r>
              <w:rPr>
                <w:rFonts w:ascii="仿宋_GB2312" w:hAnsi="仿宋_GB2312" w:cs="仿宋_GB2312" w:eastAsia="仿宋_GB2312"/>
                <w:sz w:val="32"/>
                <w:color w:val="000000"/>
              </w:rPr>
              <w:t>道路保洁</w:t>
            </w:r>
          </w:p>
          <w:p>
            <w:pPr>
              <w:pStyle w:val="null3"/>
              <w:ind w:firstLine="644"/>
              <w:jc w:val="left"/>
            </w:pPr>
            <w:r>
              <w:rPr>
                <w:rFonts w:ascii="仿宋_GB2312" w:hAnsi="仿宋_GB2312" w:cs="仿宋_GB2312" w:eastAsia="仿宋_GB2312"/>
                <w:sz w:val="32"/>
                <w:color w:val="000000"/>
              </w:rPr>
              <w:t>(1</w:t>
            </w:r>
            <w:r>
              <w:rPr>
                <w:rFonts w:ascii="仿宋_GB2312" w:hAnsi="仿宋_GB2312" w:cs="仿宋_GB2312" w:eastAsia="仿宋_GB2312"/>
                <w:sz w:val="32"/>
                <w:color w:val="000000"/>
              </w:rPr>
              <w:t>）人工清扫保洁做到：路面、路沿、便道（包括树坑、车位）无污物、无鸟屎、无痰迹，目视地面干净、露出道路本色。保洁人员每天对清扫区域内的道路石材道沿，各式标识牌、座椅、灯饰，景观石、校园红色文化相关物品做到每天擦拭、拖洗，做到表面无污迹、无痰迹、无尘土。在重大活动，节日前进行重点保洁。清洁作业及时率100%，清洁作业合格率100%。</w:t>
            </w:r>
          </w:p>
          <w:p>
            <w:pPr>
              <w:pStyle w:val="null3"/>
              <w:ind w:firstLine="644"/>
              <w:jc w:val="left"/>
            </w:pPr>
            <w:r>
              <w:rPr>
                <w:rFonts w:ascii="仿宋_GB2312" w:hAnsi="仿宋_GB2312" w:cs="仿宋_GB2312" w:eastAsia="仿宋_GB2312"/>
                <w:sz w:val="32"/>
                <w:color w:val="000000"/>
              </w:rPr>
              <w:t>(2</w:t>
            </w:r>
            <w:r>
              <w:rPr>
                <w:rFonts w:ascii="仿宋_GB2312" w:hAnsi="仿宋_GB2312" w:cs="仿宋_GB2312" w:eastAsia="仿宋_GB2312"/>
                <w:sz w:val="32"/>
                <w:color w:val="000000"/>
              </w:rPr>
              <w:t>）清扫保洁的垃圾随扫随清，地面垃圾滞留时间不超过2小时。不往下水道（井）中扫垃圾，不往绿地倒垃圾。</w:t>
            </w:r>
          </w:p>
          <w:p>
            <w:pPr>
              <w:pStyle w:val="null3"/>
              <w:ind w:firstLine="644"/>
              <w:jc w:val="left"/>
            </w:pPr>
            <w:r>
              <w:rPr>
                <w:rFonts w:ascii="仿宋_GB2312" w:hAnsi="仿宋_GB2312" w:cs="仿宋_GB2312" w:eastAsia="仿宋_GB2312"/>
                <w:sz w:val="32"/>
                <w:color w:val="000000"/>
              </w:rPr>
              <w:t>(3</w:t>
            </w:r>
            <w:r>
              <w:rPr>
                <w:rFonts w:ascii="仿宋_GB2312" w:hAnsi="仿宋_GB2312" w:cs="仿宋_GB2312" w:eastAsia="仿宋_GB2312"/>
                <w:sz w:val="32"/>
                <w:color w:val="000000"/>
              </w:rPr>
              <w:t>）清扫落叶和修剪的树枝要及时装袋，码放路边，及时转运，做到日产日清。垃圾清运及时率100%。</w:t>
            </w:r>
          </w:p>
          <w:p>
            <w:pPr>
              <w:pStyle w:val="null3"/>
              <w:ind w:firstLine="644"/>
              <w:jc w:val="left"/>
            </w:pPr>
            <w:r>
              <w:rPr>
                <w:rFonts w:ascii="仿宋_GB2312" w:hAnsi="仿宋_GB2312" w:cs="仿宋_GB2312" w:eastAsia="仿宋_GB2312"/>
                <w:sz w:val="32"/>
                <w:color w:val="000000"/>
              </w:rPr>
              <w:t>(4</w:t>
            </w:r>
            <w:r>
              <w:rPr>
                <w:rFonts w:ascii="仿宋_GB2312" w:hAnsi="仿宋_GB2312" w:cs="仿宋_GB2312" w:eastAsia="仿宋_GB2312"/>
                <w:sz w:val="32"/>
                <w:color w:val="000000"/>
              </w:rPr>
              <w:t>）遇降雨天，雨后半小时，及时清扫，确保路面无大面积积水。遇降雪天，雪后及时清除人行便道120厘米宽，清除的冰雪要整齐堆放在向阳处。没有撒过融雪剂的冰雪，有绿地的倒入绿地，没有绿地的按要求清运。雨水井篦子定时清掏，不满不冒，保持畅通。清洁作业及时率100%，清洁作业合格率100%，垃圾清运及时率100%。</w:t>
            </w:r>
          </w:p>
          <w:p>
            <w:pPr>
              <w:pStyle w:val="null3"/>
              <w:ind w:firstLine="644"/>
              <w:jc w:val="left"/>
            </w:pPr>
            <w:r>
              <w:rPr>
                <w:rFonts w:ascii="仿宋_GB2312" w:hAnsi="仿宋_GB2312" w:cs="仿宋_GB2312" w:eastAsia="仿宋_GB2312"/>
                <w:sz w:val="32"/>
                <w:color w:val="000000"/>
              </w:rPr>
              <w:t>(5</w:t>
            </w:r>
            <w:r>
              <w:rPr>
                <w:rFonts w:ascii="仿宋_GB2312" w:hAnsi="仿宋_GB2312" w:cs="仿宋_GB2312" w:eastAsia="仿宋_GB2312"/>
                <w:sz w:val="32"/>
                <w:color w:val="000000"/>
              </w:rPr>
              <w:t>）每日不定时巡回清掏垃圾箱，做到不满不冒。垃圾箱表面要保持整洁做到无污物、无痰迹、无尘土、周围无烟头，做到随脏随擦。每天进行消杀，每周进行冲洗。</w:t>
            </w:r>
          </w:p>
          <w:p>
            <w:pPr>
              <w:pStyle w:val="null3"/>
              <w:ind w:firstLine="644"/>
              <w:jc w:val="left"/>
            </w:pPr>
            <w:r>
              <w:rPr>
                <w:rFonts w:ascii="仿宋_GB2312" w:hAnsi="仿宋_GB2312" w:cs="仿宋_GB2312" w:eastAsia="仿宋_GB2312"/>
                <w:sz w:val="32"/>
                <w:color w:val="000000"/>
              </w:rPr>
              <w:t>(6</w:t>
            </w:r>
            <w:r>
              <w:rPr>
                <w:rFonts w:ascii="仿宋_GB2312" w:hAnsi="仿宋_GB2312" w:cs="仿宋_GB2312" w:eastAsia="仿宋_GB2312"/>
                <w:sz w:val="32"/>
                <w:color w:val="000000"/>
              </w:rPr>
              <w:t>）绿地无烟头、瓜果皮核、纸屑、动物粪便等杂物。</w:t>
            </w:r>
          </w:p>
          <w:p>
            <w:pPr>
              <w:pStyle w:val="null3"/>
              <w:ind w:firstLine="634"/>
              <w:jc w:val="left"/>
            </w:pPr>
            <w:r>
              <w:rPr>
                <w:rFonts w:ascii="仿宋_GB2312" w:hAnsi="仿宋_GB2312" w:cs="仿宋_GB2312" w:eastAsia="仿宋_GB2312"/>
                <w:sz w:val="32"/>
                <w:color w:val="000000"/>
              </w:rPr>
              <w:t>（</w:t>
            </w:r>
            <w:r>
              <w:rPr>
                <w:rFonts w:ascii="仿宋_GB2312" w:hAnsi="仿宋_GB2312" w:cs="仿宋_GB2312" w:eastAsia="仿宋_GB2312"/>
                <w:sz w:val="32"/>
                <w:color w:val="000000"/>
              </w:rPr>
              <w:t>二）安保服务</w:t>
            </w:r>
          </w:p>
          <w:p>
            <w:pPr>
              <w:pStyle w:val="null3"/>
              <w:ind w:firstLine="644"/>
              <w:jc w:val="left"/>
            </w:pPr>
            <w:r>
              <w:rPr>
                <w:rFonts w:ascii="仿宋_GB2312" w:hAnsi="仿宋_GB2312" w:cs="仿宋_GB2312" w:eastAsia="仿宋_GB2312"/>
                <w:sz w:val="32"/>
                <w:color w:val="000000"/>
              </w:rPr>
              <w:t>1</w:t>
            </w:r>
            <w:r>
              <w:rPr>
                <w:rFonts w:ascii="仿宋_GB2312" w:hAnsi="仿宋_GB2312" w:cs="仿宋_GB2312" w:eastAsia="仿宋_GB2312"/>
                <w:sz w:val="32"/>
                <w:color w:val="000000"/>
              </w:rPr>
              <w:t>、服务内容</w:t>
            </w:r>
          </w:p>
          <w:p>
            <w:pPr>
              <w:pStyle w:val="null3"/>
              <w:ind w:firstLine="644"/>
              <w:jc w:val="left"/>
            </w:pPr>
            <w:r>
              <w:rPr>
                <w:rFonts w:ascii="仿宋_GB2312" w:hAnsi="仿宋_GB2312" w:cs="仿宋_GB2312" w:eastAsia="仿宋_GB2312"/>
                <w:sz w:val="32"/>
                <w:color w:val="000000"/>
              </w:rPr>
              <w:t>设置门卫岗，实行三班运行，每个班8小时，24小时昼夜值勤，白班主要负责门卫出入人员的检查、验证工作，并做好车辆出入管理工作；夜班负责夜间安全警戒及夜间门卫出入人员和车辆的管理工作。</w:t>
            </w:r>
          </w:p>
          <w:p>
            <w:pPr>
              <w:pStyle w:val="null3"/>
              <w:ind w:firstLine="644"/>
              <w:jc w:val="left"/>
            </w:pPr>
            <w:r>
              <w:rPr>
                <w:rFonts w:ascii="仿宋_GB2312" w:hAnsi="仿宋_GB2312" w:cs="仿宋_GB2312" w:eastAsia="仿宋_GB2312"/>
                <w:sz w:val="32"/>
                <w:color w:val="000000"/>
              </w:rPr>
              <w:t>2</w:t>
            </w:r>
            <w:r>
              <w:rPr>
                <w:rFonts w:ascii="仿宋_GB2312" w:hAnsi="仿宋_GB2312" w:cs="仿宋_GB2312" w:eastAsia="仿宋_GB2312"/>
                <w:sz w:val="32"/>
                <w:color w:val="000000"/>
              </w:rPr>
              <w:t>、服务标准及要求</w:t>
            </w:r>
          </w:p>
          <w:p>
            <w:pPr>
              <w:pStyle w:val="null3"/>
              <w:ind w:firstLine="644"/>
              <w:jc w:val="left"/>
            </w:pPr>
            <w:r>
              <w:rPr>
                <w:rFonts w:ascii="仿宋_GB2312" w:hAnsi="仿宋_GB2312" w:cs="仿宋_GB2312" w:eastAsia="仿宋_GB2312"/>
                <w:sz w:val="32"/>
                <w:color w:val="000000"/>
              </w:rPr>
              <w:t>（1）建立健全和落实内部治安、消防等管理规章制度，如遇紧急情况保证信息能有效传递并做好登记交接工作。执行24小时值班，及时发现和处理各种安全事故隐患，配合采购人迅速有效处理突发事件。</w:t>
            </w:r>
          </w:p>
          <w:p>
            <w:pPr>
              <w:pStyle w:val="null3"/>
              <w:ind w:firstLine="644"/>
              <w:jc w:val="left"/>
            </w:pPr>
            <w:r>
              <w:rPr>
                <w:rFonts w:ascii="仿宋_GB2312" w:hAnsi="仿宋_GB2312" w:cs="仿宋_GB2312" w:eastAsia="仿宋_GB2312"/>
                <w:sz w:val="32"/>
                <w:color w:val="000000"/>
              </w:rPr>
              <w:t>（2）门卫以严防治安案件、恶性案件、突发事件发生为重心，维护正常的教学、科研秩序及重点要害部位的安全防范，确保治安、刑事案件及责任事故零发案。</w:t>
            </w:r>
          </w:p>
          <w:p>
            <w:pPr>
              <w:pStyle w:val="null3"/>
              <w:jc w:val="both"/>
              <w:outlineLvl w:val="2"/>
            </w:pPr>
            <w:r>
              <w:rPr>
                <w:rFonts w:ascii="仿宋_GB2312" w:hAnsi="仿宋_GB2312" w:cs="仿宋_GB2312" w:eastAsia="仿宋_GB2312"/>
                <w:sz w:val="32"/>
                <w:b/>
              </w:rPr>
              <w:t>（三）工程维修人员工作标准及要求</w:t>
            </w:r>
          </w:p>
          <w:p>
            <w:pPr>
              <w:pStyle w:val="null3"/>
              <w:ind w:firstLine="640"/>
              <w:jc w:val="both"/>
            </w:pPr>
            <w:r>
              <w:rPr>
                <w:rFonts w:ascii="仿宋_GB2312" w:hAnsi="仿宋_GB2312" w:cs="仿宋_GB2312" w:eastAsia="仿宋_GB2312"/>
                <w:sz w:val="32"/>
              </w:rPr>
              <w:t>（1）负责学校基础设施的日常维修保养工作（包括但不限于对公共设施、设备的维修、保养、运行和管理工作,水、电、暖的设施设备维修管理与服务工作,校园节能工作等），对校内物品设施及时检查维护，对收到的设施设备问题及时维修，保障学校设施设备运行完好。</w:t>
            </w:r>
          </w:p>
          <w:p>
            <w:pPr>
              <w:pStyle w:val="null3"/>
              <w:ind w:firstLine="640"/>
              <w:jc w:val="both"/>
            </w:pPr>
            <w:r>
              <w:rPr>
                <w:rFonts w:ascii="仿宋_GB2312" w:hAnsi="仿宋_GB2312" w:cs="仿宋_GB2312" w:eastAsia="仿宋_GB2312"/>
                <w:sz w:val="32"/>
              </w:rPr>
              <w:t>（2）按规定着装，保持良好的精神状态。坚守岗位，不得擅离职守。</w:t>
            </w:r>
          </w:p>
          <w:p>
            <w:pPr>
              <w:pStyle w:val="null3"/>
              <w:ind w:firstLine="640"/>
              <w:jc w:val="both"/>
            </w:pPr>
            <w:r>
              <w:rPr>
                <w:rFonts w:ascii="仿宋_GB2312" w:hAnsi="仿宋_GB2312" w:cs="仿宋_GB2312" w:eastAsia="仿宋_GB2312"/>
                <w:sz w:val="32"/>
              </w:rPr>
              <w:t>（3）妥善保管维修器材及设备，做好工作记录。</w:t>
            </w:r>
          </w:p>
          <w:p>
            <w:pPr>
              <w:pStyle w:val="null3"/>
              <w:ind w:firstLine="640"/>
              <w:jc w:val="both"/>
            </w:pPr>
            <w:r>
              <w:rPr>
                <w:rFonts w:ascii="仿宋_GB2312" w:hAnsi="仿宋_GB2312" w:cs="仿宋_GB2312" w:eastAsia="仿宋_GB2312"/>
                <w:sz w:val="32"/>
              </w:rPr>
              <w:t>（4）积极完成学校安排的其他临时性工作，不拖延推诿。</w:t>
            </w:r>
          </w:p>
          <w:p>
            <w:pPr>
              <w:pStyle w:val="null3"/>
              <w:ind w:firstLine="640"/>
              <w:jc w:val="both"/>
            </w:pPr>
            <w:r>
              <w:rPr>
                <w:rFonts w:ascii="仿宋_GB2312" w:hAnsi="仿宋_GB2312" w:cs="仿宋_GB2312" w:eastAsia="仿宋_GB2312"/>
                <w:sz w:val="32"/>
              </w:rPr>
              <w:t>（四）绿化人员工作标准及要求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b/>
              </w:rPr>
              <w:t>日常绿化养护管理</w:t>
            </w:r>
            <w:r>
              <w:rPr>
                <w:rFonts w:ascii="仿宋_GB2312" w:hAnsi="仿宋_GB2312" w:cs="仿宋_GB2312" w:eastAsia="仿宋_GB2312"/>
                <w:sz w:val="32"/>
              </w:rPr>
              <w:t>：负责校园草坪、行道树、灌木、绿篱、景观植被等全部绿化区域的日常养护工作，包含定期浇水、松土、除草等作业，根据季节气候变化调整养护频次，确保绿植长势正常，无大面积枯萎、干枯现象。</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b/>
              </w:rPr>
              <w:t>绿植修剪整形养护</w:t>
            </w:r>
            <w:r>
              <w:rPr>
                <w:rFonts w:ascii="仿宋_GB2312" w:hAnsi="仿宋_GB2312" w:cs="仿宋_GB2312" w:eastAsia="仿宋_GB2312"/>
                <w:sz w:val="32"/>
              </w:rPr>
              <w:t>：对校园绿篱、灌木、乔木、草坪进行定期修剪整形，及时清除枯枝、断枝、病弱枝、下垂枝，保持绿化造型整齐美观与整体景观效果。</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b/>
              </w:rPr>
              <w:t>施肥及病虫害防治</w:t>
            </w:r>
            <w:r>
              <w:rPr>
                <w:rFonts w:ascii="仿宋_GB2312" w:hAnsi="仿宋_GB2312" w:cs="仿宋_GB2312" w:eastAsia="仿宋_GB2312"/>
                <w:sz w:val="32"/>
              </w:rPr>
              <w:t>：根据苗木生长规律定期完成施肥、培土作业；常态化巡查绿植生长状态，及时发现、处置苗木病虫害问题，规范使用园林药剂，严格遵守安全作业规定，避开师生密集时段施药，做好安全警示及防护措施，杜绝药害、污染及安全隐患。</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b/>
              </w:rPr>
              <w:t>绿化区域保洁清理</w:t>
            </w:r>
            <w:r>
              <w:rPr>
                <w:rFonts w:ascii="仿宋_GB2312" w:hAnsi="仿宋_GB2312" w:cs="仿宋_GB2312" w:eastAsia="仿宋_GB2312"/>
                <w:sz w:val="32"/>
              </w:rPr>
              <w:t>：及时清理绿化带内杂草、落叶、杂物及石块废弃物，定期全面清理绿化死角，保持绿化区域干净整洁、无杂草丛生，有效预防蚊虫滋生。</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b/>
              </w:rPr>
              <w:t>苗木补植与植被保护</w:t>
            </w:r>
            <w:r>
              <w:rPr>
                <w:rFonts w:ascii="仿宋_GB2312" w:hAnsi="仿宋_GB2312" w:cs="仿宋_GB2312" w:eastAsia="仿宋_GB2312"/>
                <w:sz w:val="32"/>
              </w:rPr>
              <w:t>：常态化巡查校园绿化苗木存活情况，对枯死、缺损、倒伏苗木及时上报，并按要求完成补植、移栽、扶正养护工作；</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w:t>
            </w:r>
            <w:r>
              <w:rPr>
                <w:rFonts w:ascii="仿宋_GB2312" w:hAnsi="仿宋_GB2312" w:cs="仿宋_GB2312" w:eastAsia="仿宋_GB2312"/>
                <w:sz w:val="32"/>
                <w:b/>
              </w:rPr>
              <w:t>工具设备管理维护</w:t>
            </w:r>
            <w:r>
              <w:rPr>
                <w:rFonts w:ascii="仿宋_GB2312" w:hAnsi="仿宋_GB2312" w:cs="仿宋_GB2312" w:eastAsia="仿宋_GB2312"/>
                <w:sz w:val="32"/>
              </w:rPr>
              <w:t>：负责割草机、绿篱机、浇灌设备等园林工具及设施的日常使用、清洁、保养与存放，定期检查设备状态，发现故障、破损及时上报，妥善保管各类物资工具。</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w:t>
            </w:r>
            <w:r>
              <w:rPr>
                <w:rFonts w:ascii="仿宋_GB2312" w:hAnsi="仿宋_GB2312" w:cs="仿宋_GB2312" w:eastAsia="仿宋_GB2312"/>
                <w:sz w:val="32"/>
                <w:b/>
              </w:rPr>
              <w:t>安全文明作业管理</w:t>
            </w:r>
            <w:r>
              <w:rPr>
                <w:rFonts w:ascii="仿宋_GB2312" w:hAnsi="仿宋_GB2312" w:cs="仿宋_GB2312" w:eastAsia="仿宋_GB2312"/>
                <w:sz w:val="32"/>
              </w:rPr>
              <w:t>：严格遵守校园安全管理制度，作业避开师生通行高峰及教学时段；机械作业、高空修枝、树木清理时设置安全警示，做好安全防护，杜绝作业安全事故；文明作业、礼貌待人，维护校园良好秩序。</w:t>
            </w:r>
          </w:p>
          <w:p>
            <w:pPr>
              <w:pStyle w:val="null3"/>
              <w:ind w:firstLine="640"/>
              <w:jc w:val="both"/>
            </w:pPr>
            <w:r>
              <w:rPr>
                <w:rFonts w:ascii="仿宋_GB2312" w:hAnsi="仿宋_GB2312" w:cs="仿宋_GB2312" w:eastAsia="仿宋_GB2312"/>
                <w:sz w:val="32"/>
              </w:rPr>
              <w:t>（五）消防控制室操作员工作标准及要求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、监控管理：24小时不间断值守，实时监控火灾报警控制器、消防联动设备运行状态，准确识别各类信号，严禁擅自关闭设备，确保信号接收无遗漏。</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、火警处置：接到火警信号1分钟内核查确认，确认火情后立即启动《火灾应急预案》，拨打119报警，上报单位消防安全负责人，按预案操作消防联动设备。</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、设备维护：每日早、晚两次检查消防控制设备，填写《消防控制室值班记录表》；每月配合维保单位开展1次功能测试，发现故障立即上报并跟踪维修，确保设备正常运行。</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、交接管理：交接班当面核对相关信息，签字确认，严禁代签、漏签。</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、档案管理：妥善保管各类消防资料，保存期限不少于1年，确保档案完整可查。</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、严禁向无关人员泄露消防控制室敏感信息，工作需要提供资料需经批准并登记；监控、值班资料仅可用于消防安全管理，严禁擅自复制传播。</w:t>
            </w:r>
          </w:p>
          <w:p>
            <w:pPr>
              <w:pStyle w:val="null3"/>
              <w:ind w:firstLine="640"/>
              <w:jc w:val="both"/>
            </w:pPr>
            <w:r>
              <w:rPr>
                <w:rFonts w:ascii="仿宋_GB2312" w:hAnsi="仿宋_GB2312" w:cs="仿宋_GB2312" w:eastAsia="仿宋_GB2312"/>
                <w:sz w:val="32"/>
              </w:rPr>
              <w:t>（六）项目负责人工作标准及要求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、全面负责校区物业服务项目整体运营管理，统筹保洁、工程维修、绿化养护、秩序辅助等全部物业板块，对接学校后勤管理部门，落实校方各项管理要求，保障教学、办公、学生生活有序开展。</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、贯彻执行公司管理制度，严格落实物业服务合同条款，定期向公司及校方后勤部门汇报工作开展情况、存在问题及整改落实情况。</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、统筹各类迎检、观摩、考试、校园大型活动的物业保障工作，做好环境布置、现场保洁、秩序配合等保障工作 。</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、做好项目部各类台账、检查记录、隐患整改记录、培训记录、应急处置资料的收集、整理、归档。</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、组织岗位培训：校园服务礼仪、学生沟通注意事项、消防安全、防汛应急、作业规范、安全操作等培训教育。</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、对外沟通协调，常态化对接学校后勤、年级组等部门，及时接收校方指令，快速响应校方需求，反馈落实结果；妥善处理师生、教职工物业相关投诉与意见，及时整改反馈，提高甲方满意度。</w:t>
            </w:r>
          </w:p>
          <w:p>
            <w:pPr>
              <w:pStyle w:val="null3"/>
              <w:ind w:firstLine="643"/>
              <w:jc w:val="left"/>
            </w:pPr>
            <w:r>
              <w:rPr>
                <w:rFonts w:ascii="仿宋_GB2312" w:hAnsi="仿宋_GB2312" w:cs="仿宋_GB2312" w:eastAsia="仿宋_GB2312"/>
                <w:sz w:val="32"/>
                <w:b/>
                <w:color w:val="000000"/>
              </w:rPr>
              <w:t>五、人员要求</w:t>
            </w:r>
          </w:p>
          <w:p>
            <w:pPr>
              <w:pStyle w:val="null3"/>
              <w:ind w:firstLine="643"/>
              <w:jc w:val="left"/>
            </w:pPr>
            <w:r>
              <w:rPr>
                <w:rFonts w:ascii="仿宋_GB2312" w:hAnsi="仿宋_GB2312" w:cs="仿宋_GB2312" w:eastAsia="仿宋_GB2312"/>
                <w:sz w:val="32"/>
                <w:b/>
                <w:color w:val="000000"/>
              </w:rPr>
              <w:t>人员要求</w:t>
            </w:r>
          </w:p>
          <w:tbl>
            <w:tblPr>
              <w:tblInd w:type="dxa" w:w="150"/>
              <w:tblBorders>
                <w:top w:val="single"/>
                <w:left w:val="single"/>
                <w:bottom w:val="single"/>
                <w:right w:val="single"/>
                <w:insideH w:val="single"/>
                <w:insideV w:val="single"/>
              </w:tblBorders>
            </w:tblPr>
            <w:tblGrid>
              <w:gridCol w:w="331"/>
              <w:gridCol w:w="328"/>
              <w:gridCol w:w="164"/>
              <w:gridCol w:w="1727"/>
            </w:tblGrid>
            <w:tr>
              <w:tc>
                <w:tcPr>
                  <w:tcW w:type="dxa" w:w="33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b/>
                      <w:color w:val="000000"/>
                    </w:rPr>
                    <w:t>类</w:t>
                  </w:r>
                  <w:r>
                    <w:rPr>
                      <w:rFonts w:ascii="仿宋_GB2312" w:hAnsi="仿宋_GB2312" w:cs="仿宋_GB2312" w:eastAsia="仿宋_GB2312"/>
                      <w:sz w:val="32"/>
                      <w:b/>
                      <w:color w:val="000000"/>
                    </w:rPr>
                    <w:t>别</w:t>
                  </w:r>
                </w:p>
              </w:tc>
              <w:tc>
                <w:tcPr>
                  <w:tcW w:type="dxa" w:w="32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b/>
                      <w:color w:val="000000"/>
                    </w:rPr>
                    <w:t>岗</w:t>
                  </w:r>
                  <w:r>
                    <w:rPr>
                      <w:rFonts w:ascii="仿宋_GB2312" w:hAnsi="仿宋_GB2312" w:cs="仿宋_GB2312" w:eastAsia="仿宋_GB2312"/>
                      <w:sz w:val="32"/>
                      <w:b/>
                      <w:color w:val="000000"/>
                    </w:rPr>
                    <w:t>位</w:t>
                  </w:r>
                </w:p>
              </w:tc>
              <w:tc>
                <w:tcPr>
                  <w:tcW w:type="dxa" w:w="16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b/>
                      <w:color w:val="000000"/>
                    </w:rPr>
                    <w:t>人</w:t>
                  </w:r>
                  <w:r>
                    <w:rPr>
                      <w:rFonts w:ascii="仿宋_GB2312" w:hAnsi="仿宋_GB2312" w:cs="仿宋_GB2312" w:eastAsia="仿宋_GB2312"/>
                      <w:sz w:val="32"/>
                      <w:b/>
                      <w:color w:val="000000"/>
                    </w:rPr>
                    <w:t>数</w:t>
                  </w:r>
                </w:p>
              </w:tc>
              <w:tc>
                <w:tcPr>
                  <w:tcW w:type="dxa" w:w="1727"/>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b/>
                      <w:color w:val="000000"/>
                    </w:rPr>
                    <w:t>资</w:t>
                  </w:r>
                  <w:r>
                    <w:rPr>
                      <w:rFonts w:ascii="仿宋_GB2312" w:hAnsi="仿宋_GB2312" w:cs="仿宋_GB2312" w:eastAsia="仿宋_GB2312"/>
                      <w:sz w:val="32"/>
                      <w:b/>
                      <w:color w:val="000000"/>
                    </w:rPr>
                    <w:t>质要求</w:t>
                  </w:r>
                </w:p>
              </w:tc>
            </w:tr>
            <w:tr>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color w:val="000000"/>
                    </w:rPr>
                    <w:t>综</w:t>
                  </w:r>
                  <w:r>
                    <w:rPr>
                      <w:rFonts w:ascii="仿宋_GB2312" w:hAnsi="仿宋_GB2312" w:cs="仿宋_GB2312" w:eastAsia="仿宋_GB2312"/>
                      <w:sz w:val="32"/>
                      <w:color w:val="000000"/>
                    </w:rPr>
                    <w:t>合管理</w:t>
                  </w:r>
                </w:p>
              </w:tc>
              <w:tc>
                <w:tcPr>
                  <w:tcW w:type="dxa" w:w="32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color w:val="000000"/>
                    </w:rPr>
                    <w:t>经理</w:t>
                  </w: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color w:val="000000"/>
                    </w:rPr>
                    <w:t>1</w:t>
                  </w:r>
                  <w:r>
                    <w:rPr>
                      <w:rFonts w:ascii="仿宋_GB2312" w:hAnsi="仿宋_GB2312" w:cs="仿宋_GB2312" w:eastAsia="仿宋_GB2312"/>
                      <w:sz w:val="32"/>
                      <w:color w:val="000000"/>
                    </w:rPr>
                    <w:t>人</w:t>
                  </w:r>
                </w:p>
              </w:tc>
              <w:tc>
                <w:tcPr>
                  <w:tcW w:type="dxa" w:w="17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32"/>
                      <w:color w:val="000000"/>
                    </w:rPr>
                    <w:t>大专及以上学历，具备3年及以上类似管理经验，在本企业缴纳社保。</w:t>
                  </w:r>
                </w:p>
              </w:tc>
            </w:tr>
            <w:tr>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color w:val="000000"/>
                    </w:rPr>
                    <w:t>安</w:t>
                  </w:r>
                  <w:r>
                    <w:rPr>
                      <w:rFonts w:ascii="仿宋_GB2312" w:hAnsi="仿宋_GB2312" w:cs="仿宋_GB2312" w:eastAsia="仿宋_GB2312"/>
                      <w:sz w:val="32"/>
                      <w:color w:val="000000"/>
                    </w:rPr>
                    <w:t>保</w:t>
                  </w:r>
                </w:p>
              </w:tc>
              <w:tc>
                <w:tcPr>
                  <w:tcW w:type="dxa" w:w="32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color w:val="000000"/>
                    </w:rPr>
                    <w:t>门</w:t>
                  </w:r>
                  <w:r>
                    <w:rPr>
                      <w:rFonts w:ascii="仿宋_GB2312" w:hAnsi="仿宋_GB2312" w:cs="仿宋_GB2312" w:eastAsia="仿宋_GB2312"/>
                      <w:sz w:val="32"/>
                      <w:color w:val="000000"/>
                    </w:rPr>
                    <w:t>岗值班员</w:t>
                  </w: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color w:val="000000"/>
                    </w:rPr>
                    <w:t>6</w:t>
                  </w:r>
                  <w:r>
                    <w:rPr>
                      <w:rFonts w:ascii="仿宋_GB2312" w:hAnsi="仿宋_GB2312" w:cs="仿宋_GB2312" w:eastAsia="仿宋_GB2312"/>
                      <w:sz w:val="32"/>
                      <w:color w:val="000000"/>
                    </w:rPr>
                    <w:t>人</w:t>
                  </w:r>
                </w:p>
              </w:tc>
              <w:tc>
                <w:tcPr>
                  <w:tcW w:type="dxa" w:w="17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32"/>
                      <w:color w:val="000000"/>
                    </w:rPr>
                    <w:t>身高1.7米以上，年龄在20—55周岁，懂治安管理条例，保安员上岗证。</w:t>
                  </w:r>
                </w:p>
              </w:tc>
            </w:tr>
            <w:tr>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color w:val="000000"/>
                    </w:rPr>
                    <w:t>保洁</w:t>
                  </w:r>
                </w:p>
              </w:tc>
              <w:tc>
                <w:tcPr>
                  <w:tcW w:type="dxa" w:w="328"/>
                  <w:tcBorders>
                    <w:top w:val="none" w:color="000000" w:sz="4"/>
                    <w:left w:val="none" w:color="000000" w:sz="4"/>
                    <w:bottom w:val="non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color w:val="000000"/>
                    </w:rPr>
                    <w:t>保洁员</w:t>
                  </w:r>
                </w:p>
              </w:tc>
              <w:tc>
                <w:tcPr>
                  <w:tcW w:type="dxa" w:w="164"/>
                  <w:tcBorders>
                    <w:top w:val="none" w:color="000000" w:sz="4"/>
                    <w:left w:val="none" w:color="000000" w:sz="4"/>
                    <w:bottom w:val="non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color w:val="000000"/>
                    </w:rPr>
                    <w:t>6</w:t>
                  </w:r>
                  <w:r>
                    <w:rPr>
                      <w:rFonts w:ascii="仿宋_GB2312" w:hAnsi="仿宋_GB2312" w:cs="仿宋_GB2312" w:eastAsia="仿宋_GB2312"/>
                      <w:sz w:val="32"/>
                      <w:color w:val="000000"/>
                    </w:rPr>
                    <w:t>人</w:t>
                  </w:r>
                </w:p>
              </w:tc>
              <w:tc>
                <w:tcPr>
                  <w:tcW w:type="dxa" w:w="1727"/>
                  <w:tcBorders>
                    <w:top w:val="none" w:color="000000" w:sz="4"/>
                    <w:left w:val="none" w:color="000000" w:sz="4"/>
                    <w:bottom w:val="non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32"/>
                      <w:color w:val="000000"/>
                    </w:rPr>
                    <w:t>男不超过55周岁，女不超过55周岁。</w:t>
                  </w:r>
                </w:p>
              </w:tc>
            </w:tr>
            <w:tr>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color w:val="000000"/>
                    </w:rPr>
                    <w:t>消防控制室</w:t>
                  </w:r>
                </w:p>
              </w:tc>
              <w:tc>
                <w:tcPr>
                  <w:tcW w:type="dxa" w:w="32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color w:val="000000"/>
                    </w:rPr>
                    <w:t>消防控制室人员</w:t>
                  </w:r>
                </w:p>
              </w:tc>
              <w:tc>
                <w:tcPr>
                  <w:tcW w:type="dxa" w:w="16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color w:val="000000"/>
                    </w:rPr>
                    <w:t>3</w:t>
                  </w:r>
                </w:p>
              </w:tc>
              <w:tc>
                <w:tcPr>
                  <w:tcW w:type="dxa" w:w="1727"/>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32"/>
                    </w:rPr>
                    <w:t>年龄：20-55周岁，持有消防设施操作员证</w:t>
                  </w:r>
                </w:p>
              </w:tc>
            </w:tr>
            <w:tr>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color w:val="000000"/>
                    </w:rPr>
                    <w:t>工程维修人员</w:t>
                  </w:r>
                </w:p>
              </w:tc>
              <w:tc>
                <w:tcPr>
                  <w:tcW w:type="dxa" w:w="1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color w:val="000000"/>
                    </w:rPr>
                    <w:t>1</w:t>
                  </w:r>
                </w:p>
              </w:tc>
              <w:tc>
                <w:tcPr>
                  <w:tcW w:type="dxa" w:w="17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32"/>
                      <w:color w:val="000000"/>
                    </w:rPr>
                    <w:t>年龄：</w:t>
                  </w:r>
                  <w:r>
                    <w:rPr>
                      <w:rFonts w:ascii="仿宋_GB2312" w:hAnsi="仿宋_GB2312" w:cs="仿宋_GB2312" w:eastAsia="仿宋_GB2312"/>
                      <w:sz w:val="32"/>
                    </w:rPr>
                    <w:t>20-55</w:t>
                  </w:r>
                  <w:r>
                    <w:rPr>
                      <w:rFonts w:ascii="仿宋_GB2312" w:hAnsi="仿宋_GB2312" w:cs="仿宋_GB2312" w:eastAsia="仿宋_GB2312"/>
                      <w:sz w:val="32"/>
                    </w:rPr>
                    <w:t>周岁，持有低压电工证</w:t>
                  </w:r>
                </w:p>
              </w:tc>
            </w:tr>
            <w:tr>
              <w:tc>
                <w:tcPr>
                  <w:tcW w:type="dxa" w:w="331"/>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328"/>
                  <w:tcBorders>
                    <w:top w:val="none" w:color="000000" w:sz="4"/>
                    <w:left w:val="none" w:color="000000" w:sz="4"/>
                    <w:bottom w:val="non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color w:val="000000"/>
                    </w:rPr>
                    <w:t>绿化人员</w:t>
                  </w:r>
                </w:p>
              </w:tc>
              <w:tc>
                <w:tcPr>
                  <w:tcW w:type="dxa" w:w="164"/>
                  <w:tcBorders>
                    <w:top w:val="none" w:color="000000" w:sz="4"/>
                    <w:left w:val="none" w:color="000000" w:sz="4"/>
                    <w:bottom w:val="non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color w:val="000000"/>
                    </w:rPr>
                    <w:t>1</w:t>
                  </w:r>
                </w:p>
              </w:tc>
              <w:tc>
                <w:tcPr>
                  <w:tcW w:type="dxa" w:w="1727"/>
                  <w:tcBorders>
                    <w:top w:val="none" w:color="000000" w:sz="4"/>
                    <w:left w:val="none" w:color="000000" w:sz="4"/>
                    <w:bottom w:val="non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32"/>
                      <w:color w:val="000000"/>
                    </w:rPr>
                    <w:t>具有三年工作经验</w:t>
                  </w:r>
                </w:p>
              </w:tc>
            </w:tr>
            <w:tr>
              <w:tc>
                <w:tcPr>
                  <w:tcW w:type="dxa" w:w="659"/>
                  <w:gridSpan w:val="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b/>
                      <w:color w:val="000000"/>
                    </w:rPr>
                    <w:t>合</w:t>
                  </w:r>
                  <w:r>
                    <w:rPr>
                      <w:rFonts w:ascii="仿宋_GB2312" w:hAnsi="仿宋_GB2312" w:cs="仿宋_GB2312" w:eastAsia="仿宋_GB2312"/>
                      <w:sz w:val="32"/>
                      <w:b/>
                      <w:color w:val="000000"/>
                    </w:rPr>
                    <w:t>计</w:t>
                  </w:r>
                </w:p>
              </w:tc>
              <w:tc>
                <w:tcPr>
                  <w:tcW w:type="dxa" w:w="1891"/>
                  <w:gridSpan w:val="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32"/>
                      <w:b/>
                    </w:rPr>
                    <w:t>18</w:t>
                  </w:r>
                  <w:r>
                    <w:rPr>
                      <w:rFonts w:ascii="仿宋_GB2312" w:hAnsi="仿宋_GB2312" w:cs="仿宋_GB2312" w:eastAsia="仿宋_GB2312"/>
                      <w:sz w:val="32"/>
                      <w:b/>
                    </w:rPr>
                    <w:t>人</w:t>
                  </w:r>
                </w:p>
              </w:tc>
            </w:tr>
          </w:tbl>
          <w:p>
            <w:pPr>
              <w:pStyle w:val="null3"/>
              <w:jc w:val="left"/>
            </w:pPr>
            <w:r>
              <w:rPr>
                <w:rFonts w:ascii="仿宋_GB2312" w:hAnsi="仿宋_GB2312" w:cs="仿宋_GB2312" w:eastAsia="仿宋_GB2312"/>
                <w:sz w:val="32"/>
                <w:color w:val="000000"/>
              </w:rPr>
              <w:t>1</w:t>
            </w:r>
            <w:r>
              <w:rPr>
                <w:rFonts w:ascii="仿宋_GB2312" w:hAnsi="仿宋_GB2312" w:cs="仿宋_GB2312" w:eastAsia="仿宋_GB2312"/>
                <w:sz w:val="32"/>
                <w:color w:val="000000"/>
              </w:rPr>
              <w:t>、投标人的服务人员要有符合国家规定的与工作相对应上岗证；要严格审查没有刑事犯罪记录；同时，投标人要服从采购人的统一管理和工作安排，遵守采购人的管理制度和安排。</w:t>
            </w:r>
          </w:p>
          <w:p>
            <w:pPr>
              <w:pStyle w:val="null3"/>
              <w:ind w:firstLine="644"/>
              <w:jc w:val="left"/>
            </w:pPr>
            <w:r>
              <w:rPr>
                <w:rFonts w:ascii="仿宋_GB2312" w:hAnsi="仿宋_GB2312" w:cs="仿宋_GB2312" w:eastAsia="仿宋_GB2312"/>
                <w:sz w:val="32"/>
                <w:color w:val="000000"/>
              </w:rPr>
              <w:t>2</w:t>
            </w:r>
            <w:r>
              <w:rPr>
                <w:rFonts w:ascii="仿宋_GB2312" w:hAnsi="仿宋_GB2312" w:cs="仿宋_GB2312" w:eastAsia="仿宋_GB2312"/>
                <w:sz w:val="32"/>
                <w:color w:val="000000"/>
              </w:rPr>
              <w:t>、投标人需在项目服务过程中建立岗位制度、内控制度和人员管理及培训制度等管理制度。针对突发紧急事件、违法事件、重大活动建立应急预案。做好节能降耗和档案管理工作。</w:t>
            </w:r>
          </w:p>
          <w:p>
            <w:pPr>
              <w:pStyle w:val="null3"/>
              <w:ind w:firstLine="644"/>
              <w:jc w:val="left"/>
            </w:pPr>
            <w:r>
              <w:rPr>
                <w:rFonts w:ascii="仿宋_GB2312" w:hAnsi="仿宋_GB2312" w:cs="仿宋_GB2312" w:eastAsia="仿宋_GB2312"/>
                <w:sz w:val="32"/>
                <w:color w:val="000000"/>
              </w:rPr>
              <w:t>3</w:t>
            </w:r>
            <w:r>
              <w:rPr>
                <w:rFonts w:ascii="仿宋_GB2312" w:hAnsi="仿宋_GB2312" w:cs="仿宋_GB2312" w:eastAsia="仿宋_GB2312"/>
                <w:sz w:val="32"/>
                <w:color w:val="000000"/>
              </w:rPr>
              <w:t>、投标人在国家法定节假日、双休日或其他重大安排中，必须按照采购人安排做好校后勤物业服务等各项工作，确保学校校各项工作正常开展。投标人人员休假由投标人依国家法规自行调休。</w:t>
            </w:r>
          </w:p>
          <w:p>
            <w:pPr>
              <w:pStyle w:val="null3"/>
              <w:ind w:firstLine="644"/>
              <w:jc w:val="left"/>
            </w:pPr>
            <w:r>
              <w:rPr>
                <w:rFonts w:ascii="仿宋_GB2312" w:hAnsi="仿宋_GB2312" w:cs="仿宋_GB2312" w:eastAsia="仿宋_GB2312"/>
                <w:sz w:val="32"/>
                <w:color w:val="000000"/>
              </w:rPr>
              <w:t>4</w:t>
            </w:r>
            <w:r>
              <w:rPr>
                <w:rFonts w:ascii="仿宋_GB2312" w:hAnsi="仿宋_GB2312" w:cs="仿宋_GB2312" w:eastAsia="仿宋_GB2312"/>
                <w:sz w:val="32"/>
                <w:color w:val="000000"/>
              </w:rPr>
              <w:t>、每季度进行一次意见征询，提高管理水平，提升服务质量，确保采购人、学生满意。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综合管理；经理：1人 安保；门岗值班员：6人 保洁；保洁员：6人 消防控制室；消防控制人员：3人、工程维修人员：1人、绿化人员：1人 （共18人）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自签订合同之日起一年，（如全年考核优秀可续签）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宝鸡市第一中学科技新城校区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单位根据有关管理法规与宝鸡市第一中学科技新城校区签订相关项目服务管理委托合同。中标单位应按照国家有关法律规定、响应文件和本合同所附的服务承诺，为采购单位提供服务。服务时限内圆满完成服务工作，配置所有人员认真工作、服从管理，无劳动纠纷、不出现不良记录。 2.如在服务过程中发生质量问题，中标单位在接到采购单位通知后在响应文件承诺的时间内到达服务现场及时处理。在服务期限内，中标单位应对提供的服务质量及安全问题负责处理解决并承担一切费用。 3.合同期间若发生责任事故立即解聘，乙方承担相应全部责任，并对甲方做出赔偿。</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进度款，第一次付款时间为 2026年 12月 ，甲方在付款前收到乙方提供的增值税专用发票后，10 个工作日内以银行转账方式支付给乙方，达到付款条件起10个工作日内，支付合同总金额的50.0%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进度款，第二次付款时间为 2027年 9月 ，甲方在付款前收到乙方提供的增值税专用发票后，10 个工作日内以银行转账方式支付给乙方，达到付款条件起10个工作日内，支付合同总金额的50.0%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合同履行期间，中标供应商未达到采购需求及合同约定物业服务标准、人员配备不到位、擅自更换岗位人员、服务质量不达标或未按要求开展日常作业的，采购人有权依据月度考核结果责令限期整改，并按约定扣罚履约保证金；经整改仍无法满足校园物业服务要求的，采购人有权单方解除合同，并由中标供应商承担由此造成的一切损失。服务期间因供应商作业不当、管理疏漏、安全履职不到位引发校园安全事故、财产损失、人员损伤及第三方纠纷的，全部赔偿责任、法律责任由中标供应商自行承担。采购人无正当理由逾期支付服务款项的，按照国家相关法律法规承担相应逾期责任。合同履行过程中双方产生争议、分歧或纠纷的，优先采取友好协商方式解决；协商无法达成一致的，依法向采购人所在地有管辖权的人民法院提起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供应商为企业（包括合伙企业）的，应提供有效的“营业执照”； 供应商为事业单位的，应提供有效的“事业单位法人证书”； 供应商是非企业机构的，应提供有效的“执业许可证”、“登记证书”等证明文件； 供应商是个体工商户的，应提供有效的“个体工商户营业执照”； 供应商是自然人的，应提供有效的自然人身份证明。 若本项目允许分支机构参加响应，则分支机构参加响应的，此处可提供该分支机构或其所属法人或其他组织的相应证明文件。</w:t>
            </w:r>
          </w:p>
        </w:tc>
        <w:tc>
          <w:tcPr>
            <w:tcW w:type="dxa" w:w="1661"/>
          </w:tcPr>
          <w:p>
            <w:pPr>
              <w:pStyle w:val="null3"/>
            </w:pPr>
            <w:r>
              <w:rPr>
                <w:rFonts w:ascii="仿宋_GB2312" w:hAnsi="仿宋_GB2312" w:cs="仿宋_GB2312" w:eastAsia="仿宋_GB2312"/>
              </w:rPr>
              <w:t>资格1、营业执照.docx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两年任一年度经会计师事务所审计过的年度完整财务报表：财务审计报告应按《陕西省财政厅关于启用会计师事务所审计报告“二维码”赋码查验功能的通知》（陕财办会函［2022］55号）文件的要求具有“二维码”赋码查验功能、成立时间至提交响应文件截止时间不足一年的可提供成立后任意时段的资产负债表；或提供开标前六个月内其基本账户银行出具的资信证明（附开户许可证或基本账户证明）。</w:t>
            </w:r>
          </w:p>
        </w:tc>
        <w:tc>
          <w:tcPr>
            <w:tcW w:type="dxa" w:w="1661"/>
          </w:tcPr>
          <w:p>
            <w:pPr>
              <w:pStyle w:val="null3"/>
            </w:pPr>
            <w:r>
              <w:rPr>
                <w:rFonts w:ascii="仿宋_GB2312" w:hAnsi="仿宋_GB2312" w:cs="仿宋_GB2312" w:eastAsia="仿宋_GB2312"/>
              </w:rPr>
              <w:t>资格2、财务状况报告.docx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提供2025年7月至今任一个月的依法缴纳社会保障资金的缴款凭据：指社会保险登记证、缴纳社保的凭据（专用收据或社会保险缴纳清单）。依法不需要缴纳社会保障资金的供应商应提供相关证明文件。</w:t>
            </w:r>
          </w:p>
        </w:tc>
        <w:tc>
          <w:tcPr>
            <w:tcW w:type="dxa" w:w="1661"/>
          </w:tcPr>
          <w:p>
            <w:pPr>
              <w:pStyle w:val="null3"/>
            </w:pPr>
            <w:r>
              <w:rPr>
                <w:rFonts w:ascii="仿宋_GB2312" w:hAnsi="仿宋_GB2312" w:cs="仿宋_GB2312" w:eastAsia="仿宋_GB2312"/>
              </w:rPr>
              <w:t>资格3、社保缴纳证明.docx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提供2025年7月至今任一个月的依法缴纳税收的缴款凭据：指供应商增值税、企业所得税。依法免税的应提供相关文件证明，包括相关法规要求原文及加盖公章的情况说明。</w:t>
            </w:r>
          </w:p>
        </w:tc>
        <w:tc>
          <w:tcPr>
            <w:tcW w:type="dxa" w:w="1661"/>
          </w:tcPr>
          <w:p>
            <w:pPr>
              <w:pStyle w:val="null3"/>
            </w:pPr>
            <w:r>
              <w:rPr>
                <w:rFonts w:ascii="仿宋_GB2312" w:hAnsi="仿宋_GB2312" w:cs="仿宋_GB2312" w:eastAsia="仿宋_GB2312"/>
              </w:rPr>
              <w:t>资格4、税收缴纳证明.docx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法定代表人授权他人参加投标的，提供授权委托书。</w:t>
            </w:r>
          </w:p>
        </w:tc>
        <w:tc>
          <w:tcPr>
            <w:tcW w:type="dxa" w:w="1661"/>
          </w:tcPr>
          <w:p>
            <w:pPr>
              <w:pStyle w:val="null3"/>
            </w:pPr>
            <w:r>
              <w:rPr>
                <w:rFonts w:ascii="仿宋_GB2312" w:hAnsi="仿宋_GB2312" w:cs="仿宋_GB2312" w:eastAsia="仿宋_GB2312"/>
              </w:rPr>
              <w:t>资格5、授权委托书.docx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供应商资格声明书</w:t>
            </w:r>
          </w:p>
        </w:tc>
        <w:tc>
          <w:tcPr>
            <w:tcW w:type="dxa" w:w="3322"/>
          </w:tcPr>
          <w:p>
            <w:pPr>
              <w:pStyle w:val="null3"/>
            </w:pPr>
            <w:r>
              <w:rPr>
                <w:rFonts w:ascii="仿宋_GB2312" w:hAnsi="仿宋_GB2312" w:cs="仿宋_GB2312" w:eastAsia="仿宋_GB2312"/>
              </w:rPr>
              <w:t>提供了符合竞争性磋商文件要求的《供应商资格声明书》。</w:t>
            </w:r>
          </w:p>
        </w:tc>
        <w:tc>
          <w:tcPr>
            <w:tcW w:type="dxa" w:w="1661"/>
          </w:tcPr>
          <w:p>
            <w:pPr>
              <w:pStyle w:val="null3"/>
            </w:pPr>
            <w:r>
              <w:rPr>
                <w:rFonts w:ascii="仿宋_GB2312" w:hAnsi="仿宋_GB2312" w:cs="仿宋_GB2312" w:eastAsia="仿宋_GB2312"/>
              </w:rPr>
              <w:t>资格6、供应商资格声明书.docx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按给定格式填写书面声明函，并提供自公告发布之日起至提交响应文件之日任意一天查询的记录截图</w:t>
            </w:r>
          </w:p>
        </w:tc>
        <w:tc>
          <w:tcPr>
            <w:tcW w:type="dxa" w:w="1661"/>
          </w:tcPr>
          <w:p>
            <w:pPr>
              <w:pStyle w:val="null3"/>
            </w:pPr>
            <w:r>
              <w:rPr>
                <w:rFonts w:ascii="仿宋_GB2312" w:hAnsi="仿宋_GB2312" w:cs="仿宋_GB2312" w:eastAsia="仿宋_GB2312"/>
              </w:rPr>
              <w:t>资格7、无重大违法记录的书面声明.docx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宝鸡市政府采购供应商诚信承诺书</w:t>
            </w:r>
          </w:p>
        </w:tc>
        <w:tc>
          <w:tcPr>
            <w:tcW w:type="dxa" w:w="3322"/>
          </w:tcPr>
          <w:p>
            <w:pPr>
              <w:pStyle w:val="null3"/>
            </w:pPr>
            <w:r>
              <w:rPr>
                <w:rFonts w:ascii="仿宋_GB2312" w:hAnsi="仿宋_GB2312" w:cs="仿宋_GB2312" w:eastAsia="仿宋_GB2312"/>
              </w:rPr>
              <w:t>按给定格式提供</w:t>
            </w:r>
          </w:p>
        </w:tc>
        <w:tc>
          <w:tcPr>
            <w:tcW w:type="dxa" w:w="1661"/>
          </w:tcPr>
          <w:p>
            <w:pPr>
              <w:pStyle w:val="null3"/>
            </w:pPr>
            <w:r>
              <w:rPr>
                <w:rFonts w:ascii="仿宋_GB2312" w:hAnsi="仿宋_GB2312" w:cs="仿宋_GB2312" w:eastAsia="仿宋_GB2312"/>
              </w:rPr>
              <w:t>资格8、宝鸡市政府采购供应商诚信承诺书.docx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投标担保行为信用承诺</w:t>
            </w:r>
          </w:p>
        </w:tc>
        <w:tc>
          <w:tcPr>
            <w:tcW w:type="dxa" w:w="3322"/>
          </w:tcPr>
          <w:p>
            <w:pPr>
              <w:pStyle w:val="null3"/>
            </w:pPr>
            <w:r>
              <w:rPr>
                <w:rFonts w:ascii="仿宋_GB2312" w:hAnsi="仿宋_GB2312" w:cs="仿宋_GB2312" w:eastAsia="仿宋_GB2312"/>
              </w:rPr>
              <w:t>供应商须出具投标担保行为信用承诺函。（自2022年7月1日起在宝鸡市公共资源交易投标担保中试行信用承诺制取代投标保证金。）</w:t>
            </w:r>
          </w:p>
        </w:tc>
        <w:tc>
          <w:tcPr>
            <w:tcW w:type="dxa" w:w="1661"/>
          </w:tcPr>
          <w:p>
            <w:pPr>
              <w:pStyle w:val="null3"/>
            </w:pPr>
            <w:r>
              <w:rPr>
                <w:rFonts w:ascii="仿宋_GB2312" w:hAnsi="仿宋_GB2312" w:cs="仿宋_GB2312" w:eastAsia="仿宋_GB2312"/>
              </w:rPr>
              <w:t>资格9、投标担保信用承诺函.docx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供应商按实际情况提供的声明函并依法承担法律效力。</w:t>
            </w:r>
          </w:p>
        </w:tc>
        <w:tc>
          <w:tcPr>
            <w:tcW w:type="dxa" w:w="1661"/>
          </w:tcPr>
          <w:p>
            <w:pPr>
              <w:pStyle w:val="null3"/>
            </w:pPr>
            <w:r>
              <w:rPr>
                <w:rFonts w:ascii="仿宋_GB2312" w:hAnsi="仿宋_GB2312" w:cs="仿宋_GB2312" w:eastAsia="仿宋_GB2312"/>
              </w:rPr>
              <w:t>响应文件封面 响应函 符合1、响应函.docx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报价一览表</w:t>
            </w:r>
          </w:p>
        </w:tc>
        <w:tc>
          <w:tcPr>
            <w:tcW w:type="dxa" w:w="3322"/>
          </w:tcPr>
          <w:p>
            <w:pPr>
              <w:pStyle w:val="null3"/>
            </w:pPr>
            <w:r>
              <w:rPr>
                <w:rFonts w:ascii="仿宋_GB2312" w:hAnsi="仿宋_GB2312" w:cs="仿宋_GB2312" w:eastAsia="仿宋_GB2312"/>
              </w:rPr>
              <w:t>报价须充分考虑服务期限（合同期限）内各项费用，例如人员最低工资标准调整因素和社会保险基数调整因素；设备及工具维修保养或消耗产生的费用；保险、税金及其他可能产生的费用；充分考虑合同期限内的市场因素和成本变化状况的风险等。</w:t>
            </w:r>
          </w:p>
        </w:tc>
        <w:tc>
          <w:tcPr>
            <w:tcW w:type="dxa" w:w="1661"/>
          </w:tcPr>
          <w:p>
            <w:pPr>
              <w:pStyle w:val="null3"/>
            </w:pPr>
            <w:r>
              <w:rPr>
                <w:rFonts w:ascii="仿宋_GB2312" w:hAnsi="仿宋_GB2312" w:cs="仿宋_GB2312" w:eastAsia="仿宋_GB2312"/>
              </w:rPr>
              <w:t>符合2、报价一览表.docx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服务价格明细表</w:t>
            </w:r>
          </w:p>
        </w:tc>
        <w:tc>
          <w:tcPr>
            <w:tcW w:type="dxa" w:w="3322"/>
          </w:tcPr>
          <w:p>
            <w:pPr>
              <w:pStyle w:val="null3"/>
            </w:pPr>
            <w:r>
              <w:rPr>
                <w:rFonts w:ascii="仿宋_GB2312" w:hAnsi="仿宋_GB2312" w:cs="仿宋_GB2312" w:eastAsia="仿宋_GB2312"/>
              </w:rPr>
              <w:t>各个主要组成部分报价应与本项目具体实施预估实际产生费用内容项相对应，包括直接和间接产生费用。</w:t>
            </w:r>
          </w:p>
        </w:tc>
        <w:tc>
          <w:tcPr>
            <w:tcW w:type="dxa" w:w="1661"/>
          </w:tcPr>
          <w:p>
            <w:pPr>
              <w:pStyle w:val="null3"/>
            </w:pPr>
            <w:r>
              <w:rPr>
                <w:rFonts w:ascii="仿宋_GB2312" w:hAnsi="仿宋_GB2312" w:cs="仿宋_GB2312" w:eastAsia="仿宋_GB2312"/>
              </w:rPr>
              <w:t>符合3、初次报价分项明细表.docx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采购需求偏离表</w:t>
            </w:r>
          </w:p>
        </w:tc>
        <w:tc>
          <w:tcPr>
            <w:tcW w:type="dxa" w:w="3322"/>
          </w:tcPr>
          <w:p>
            <w:pPr>
              <w:pStyle w:val="null3"/>
            </w:pPr>
            <w:r>
              <w:rPr>
                <w:rFonts w:ascii="仿宋_GB2312" w:hAnsi="仿宋_GB2312" w:cs="仿宋_GB2312" w:eastAsia="仿宋_GB2312"/>
              </w:rPr>
              <w:t>供应商应对响应对竞争性磋商文件中的所有商务、技术要求标书理解与响应。</w:t>
            </w:r>
          </w:p>
        </w:tc>
        <w:tc>
          <w:tcPr>
            <w:tcW w:type="dxa" w:w="1661"/>
          </w:tcPr>
          <w:p>
            <w:pPr>
              <w:pStyle w:val="null3"/>
            </w:pPr>
            <w:r>
              <w:rPr>
                <w:rFonts w:ascii="仿宋_GB2312" w:hAnsi="仿宋_GB2312" w:cs="仿宋_GB2312" w:eastAsia="仿宋_GB2312"/>
              </w:rPr>
              <w:t>符合4、采购需求偏离表.docx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合同条款偏离表</w:t>
            </w:r>
          </w:p>
        </w:tc>
        <w:tc>
          <w:tcPr>
            <w:tcW w:type="dxa" w:w="3322"/>
          </w:tcPr>
          <w:p>
            <w:pPr>
              <w:pStyle w:val="null3"/>
            </w:pPr>
            <w:r>
              <w:rPr>
                <w:rFonts w:ascii="仿宋_GB2312" w:hAnsi="仿宋_GB2312" w:cs="仿宋_GB2312" w:eastAsia="仿宋_GB2312"/>
              </w:rPr>
              <w:t>完全理解并接受对合格供应商、合格的服务要求，结合采购文件的实质性响应要求没有负偏离。</w:t>
            </w:r>
          </w:p>
        </w:tc>
        <w:tc>
          <w:tcPr>
            <w:tcW w:type="dxa" w:w="1661"/>
          </w:tcPr>
          <w:p>
            <w:pPr>
              <w:pStyle w:val="null3"/>
            </w:pPr>
            <w:r>
              <w:rPr>
                <w:rFonts w:ascii="仿宋_GB2312" w:hAnsi="仿宋_GB2312" w:cs="仿宋_GB2312" w:eastAsia="仿宋_GB2312"/>
              </w:rPr>
              <w:t>符合5、合同条款偏离表.docx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派遣人员证件资格信息</w:t>
            </w:r>
          </w:p>
        </w:tc>
        <w:tc>
          <w:tcPr>
            <w:tcW w:type="dxa" w:w="3322"/>
          </w:tcPr>
          <w:p>
            <w:pPr>
              <w:pStyle w:val="null3"/>
            </w:pPr>
            <w:r>
              <w:rPr>
                <w:rFonts w:ascii="仿宋_GB2312" w:hAnsi="仿宋_GB2312" w:cs="仿宋_GB2312" w:eastAsia="仿宋_GB2312"/>
              </w:rPr>
              <w:t>供应商应满足采购采购需求中对人员的全部实质性要求</w:t>
            </w:r>
          </w:p>
        </w:tc>
        <w:tc>
          <w:tcPr>
            <w:tcW w:type="dxa" w:w="1661"/>
          </w:tcPr>
          <w:p>
            <w:pPr>
              <w:pStyle w:val="null3"/>
            </w:pPr>
            <w:r>
              <w:rPr>
                <w:rFonts w:ascii="仿宋_GB2312" w:hAnsi="仿宋_GB2312" w:cs="仿宋_GB2312" w:eastAsia="仿宋_GB2312"/>
              </w:rPr>
              <w:t>符合6、派遣人员填写信息表.docx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派遣人员身份条件信息</w:t>
            </w:r>
          </w:p>
        </w:tc>
        <w:tc>
          <w:tcPr>
            <w:tcW w:type="dxa" w:w="3322"/>
          </w:tcPr>
          <w:p>
            <w:pPr>
              <w:pStyle w:val="null3"/>
            </w:pPr>
            <w:r>
              <w:rPr>
                <w:rFonts w:ascii="仿宋_GB2312" w:hAnsi="仿宋_GB2312" w:cs="仿宋_GB2312" w:eastAsia="仿宋_GB2312"/>
              </w:rPr>
              <w:t>供应商应满足采购采购需求中对人员的全部实质性要求</w:t>
            </w:r>
          </w:p>
        </w:tc>
        <w:tc>
          <w:tcPr>
            <w:tcW w:type="dxa" w:w="1661"/>
          </w:tcPr>
          <w:p>
            <w:pPr>
              <w:pStyle w:val="null3"/>
            </w:pPr>
            <w:r>
              <w:rPr>
                <w:rFonts w:ascii="仿宋_GB2312" w:hAnsi="仿宋_GB2312" w:cs="仿宋_GB2312" w:eastAsia="仿宋_GB2312"/>
              </w:rPr>
              <w:t>符合6、派遣人员填写信息表.docx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供应商关联单位说明</w:t>
            </w:r>
          </w:p>
        </w:tc>
        <w:tc>
          <w:tcPr>
            <w:tcW w:type="dxa" w:w="3322"/>
          </w:tcPr>
          <w:p>
            <w:pPr>
              <w:pStyle w:val="null3"/>
            </w:pPr>
            <w:r>
              <w:rPr>
                <w:rFonts w:ascii="仿宋_GB2312" w:hAnsi="仿宋_GB2312" w:cs="仿宋_GB2312" w:eastAsia="仿宋_GB2312"/>
              </w:rPr>
              <w:t>注：单位负责人为同一人或者存在直接控股、管理关系的不同供应商，其相关响应将被认定为无效响应。</w:t>
            </w:r>
          </w:p>
        </w:tc>
        <w:tc>
          <w:tcPr>
            <w:tcW w:type="dxa" w:w="1661"/>
          </w:tcPr>
          <w:p>
            <w:pPr>
              <w:pStyle w:val="null3"/>
            </w:pPr>
            <w:r>
              <w:rPr>
                <w:rFonts w:ascii="仿宋_GB2312" w:hAnsi="仿宋_GB2312" w:cs="仿宋_GB2312" w:eastAsia="仿宋_GB2312"/>
              </w:rPr>
              <w:t>符合7、供应商关联单位说明的书面承诺函.docx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1. 供应商针对采购人要求的服务内容（含校园室内保洁、校园室外道路、广场、绿化区域保洁、垃圾箱清掏、消杀、冲洗等具体作业措施、保洁人员排班方案），结合各工作实际情况提供切实可行的整体服务方案，得3分。 2. 保洁服务方案各部分内容明确列出以下内容且整体设计科学、全面、合理、满足服务的各项要求、具有可操作性得4分，缺一项扣1分： ①校园室内保洁方案详细，明确各区域（大厅、走廊、卫生间、会议室、地下停车场等）的保洁频次、标准及作业流程； ② 校园室外道路、广场、绿化区域保洁方案完整，含清扫时间、垃圾清运、雨后清扫、雪后除雪等季节性作业安排； ③ 垃圾箱清掏、消杀、冲洗等具体作业措施明确，清洁作业及时率及合格率达标承诺清晰； ④保洁人员排班方案合理，明确6名保洁员分区分工及重大活动保障机制。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保洁服务方案.docx</w:t>
            </w:r>
          </w:p>
        </w:tc>
      </w:tr>
      <w:tr>
        <w:tc>
          <w:tcPr>
            <w:tcW w:type="dxa" w:w="831"/>
            <w:vMerge/>
          </w:tcPr>
          <w:p/>
        </w:tc>
        <w:tc>
          <w:tcPr>
            <w:tcW w:type="dxa" w:w="1661"/>
          </w:tcPr>
          <w:p>
            <w:pPr>
              <w:pStyle w:val="null3"/>
            </w:pPr>
            <w:r>
              <w:rPr>
                <w:rFonts w:ascii="仿宋_GB2312" w:hAnsi="仿宋_GB2312" w:cs="仿宋_GB2312" w:eastAsia="仿宋_GB2312"/>
              </w:rPr>
              <w:t>绿化及维修服务方案</w:t>
            </w:r>
          </w:p>
        </w:tc>
        <w:tc>
          <w:tcPr>
            <w:tcW w:type="dxa" w:w="2492"/>
          </w:tcPr>
          <w:p>
            <w:pPr>
              <w:pStyle w:val="null3"/>
            </w:pPr>
            <w:r>
              <w:rPr>
                <w:rFonts w:ascii="仿宋_GB2312" w:hAnsi="仿宋_GB2312" w:cs="仿宋_GB2312" w:eastAsia="仿宋_GB2312"/>
              </w:rPr>
              <w:t>1.供应商针对采购人要求的服务内容（含绿化养护、绿化病虫害防治、绿化苗木补植与植被保护、工程维修、维修人员持证（低压电工证）上岗及响应时效），结合各工作实际情况提供切实可行的整体服务方案，得2分。 2.服务方案各部分内容明确列出以下内容且整体设计科学、全面、合理、满足服务的各项要求、具有可操作性得5分，缺一项扣1分： ①绿化养护方案完整，含浇水、松土、除草、修剪整形、施肥等日常养护计划； ②绿化病虫害防治方案规范，含安全施药、避开师生时段、警示防护等措施； ③ 绿化苗木补植与植被保护机制明确，有常态化巡查和及时上报制度； ④工程维修方案完整，含水电暖设施设备日常维护保养、巡查检修及节能管理； ⑤维修人员持证（低压电工证）上岗及响应时效承诺明确。</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绿化及维修服务方案.docx</w:t>
            </w:r>
          </w:p>
        </w:tc>
      </w:tr>
      <w:tr>
        <w:tc>
          <w:tcPr>
            <w:tcW w:type="dxa" w:w="831"/>
            <w:vMerge/>
          </w:tcPr>
          <w:p/>
        </w:tc>
        <w:tc>
          <w:tcPr>
            <w:tcW w:type="dxa" w:w="1661"/>
          </w:tcPr>
          <w:p>
            <w:pPr>
              <w:pStyle w:val="null3"/>
            </w:pPr>
            <w:r>
              <w:rPr>
                <w:rFonts w:ascii="仿宋_GB2312" w:hAnsi="仿宋_GB2312" w:cs="仿宋_GB2312" w:eastAsia="仿宋_GB2312"/>
              </w:rPr>
              <w:t>安保服务方案</w:t>
            </w:r>
          </w:p>
        </w:tc>
        <w:tc>
          <w:tcPr>
            <w:tcW w:type="dxa" w:w="2492"/>
          </w:tcPr>
          <w:p>
            <w:pPr>
              <w:pStyle w:val="null3"/>
            </w:pPr>
            <w:r>
              <w:rPr>
                <w:rFonts w:ascii="仿宋_GB2312" w:hAnsi="仿宋_GB2312" w:cs="仿宋_GB2312" w:eastAsia="仿宋_GB2312"/>
              </w:rPr>
              <w:t>1.供应商针对采购人要求的服务内容（含治安防范、安保人员排班、保安员持证上岗及退役军人优先配置、安保应急预案），结合各工作实际情况提供切实可行的整体服务方案，得3分。 2.安保服务总体方案完整，明确列出以下内容，且科学、全面、合理、满足服务的各项要求、具有可操作性得4分，缺一项扣1分： ①治安防范方案详实，含治安案件预防、重点要害部位巡查、夜间安全警戒等措施； ②6名安保人员排班方案合理，明确校门岗、巡逻岗、监控岗各岗位人员配置及交接班制度； ③ 保安员持证上岗及退役军人优先配置方案具体明确可行； ④安保应急预案（含防暴恐、防突发事件）具体可行，与消防控制室联动机制清晰。</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安保服务方案.docx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1.项目管理制度体系完整，含岗位责任制、考勤制度、内控制度、人员管理及培训制度，得1分； 2.服务总体方案完整，明确列出以下内容，且科学、全面、合理、满足服务的各项要求、具有可操作性得4分，缺一项扣1分： ①项目负责人统筹管理机制明确，含对接校方后勤部门、定期汇报、台账档案管理等内容； ②节能降耗管理制度具体可行，有明确的责任人和考核指标； ③ 人员考核与奖惩制度完善，含季度意见征询、满意度调查及整改措施； ④档案管理制度规范，含培训记录、检查记录、隐患整改记录等资料归档要求。</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1.突发事件应急预案体系完整，含火灾、自然灾害、治安事件、设备故障等分类预案，得2分； 2.服务总体方案完整，明确列出以下内容，且科学、全面、合理、满足服务的各项要求、具有可操作性得4分，缺一项扣1分： ①消防控制室火警处置流程科学，明确1分钟核查确认、启动预案、拨打119、上报负责人等步骤； ②应急组织机构和人员分工明确，含项目负责人、安保、消控、维修等各岗位应急职责； ③ 应急物资储备和保障措施到位，有定期演练计划和记录； ④重大活动保障方案具体，含迎检、考试、观摩等场景的物业保障预案。</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应急处理预案.docx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供应商近三年（2022年7月1日至今）具有类似物业管理服务业绩：每提供1项有效业绩得1分，最高得5分。 注：须提供合同或中标/成交通知书复印件加盖公章，含合同首页、服务内容页、签字盖章页，否则不得分。弄虚作假者取消成交资格。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供应商业绩汇总表.docx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一、项目经理（满分4分） （1）拟派项目经理年龄在55周岁以内（含55周岁），且具有专科学历得1分；且具有本科及以上学历得2分，取最高学历计分，不重复计分。满分2分； 赋分依据：须提供身份证及学历证书（附学信网查询截图）扫描件（如拟任人员为复转退伍军人，须提供地方/部队院校的学历证明材料），年龄及学历须全部满足，不提供或缺漏项不得分。 （2）拟派项目经理具有物业服务3年及以上管理经验的得1分，具有物业服务5年及以上管理经验的得2分，取最多管理经验计分，不重复计分，满分2分。 赋分依据：须提供物业管理工作证明文件或被服务单位加盖公章的证明材料，不提供或缺漏项不得分。 注：须提供自2026年1月1日至今任意一个月供应商为其缴纳的社保证明材料，未提供者该项不得分。 二、保洁人员（满分6分） （1）拟派遣的保洁人员年龄在55周岁以下（含55周岁），每提供一人得0.5分。满分3分； 赋分依据：须提供身份证复印件并加盖公章，不提供或缺漏项不得分。 拟派遣的保洁人员每一人具有五年以上（含五年）工作经验得0.5分，满分3分。 赋分依据：须提供物业管理工作证明文件或被服务单位加盖公章的证明材料，不提供或缺漏项不得分。 三、安保人员（满分9分） （1）拟派遣的安保人员年龄在55周岁以下（含55周岁），每提供一人得0.5分。满分3分； 赋分依据：须提供身份证复印件并加盖公章，不提供或缺漏项不得分。 （2）拟派遣的安保人员每提供一名退役军人证得0.5分，满分3分； 赋分依据：须提供退伍证等复印件并加盖公章，不提供或缺漏项不得分。 （3）拟派遣的安保人员每一人具有五年以上（含五年）工作经验得0.5分，满分3分。 赋分依据：须提供物业管理工作证明文件或被服务单位加盖公章的证明材料，不提供或缺漏项不得分。 四、消防控制室人员（满分4.5分） 消防控制室员（3人）每一人具有中级及以上《消防设施操作员证》（原“建（构）筑物消防员证”），得1.5分； 赋分依据：须提供《消防设施操作员证》复印件并加盖公章的证明材料，不提供或缺漏项不得分。 五、工程维修人员（满分3分） 提供的工程维修人员具有三年以上（含三年）工作经验得1分；具有五年以上（含五年）工作经验得2分；具有八年以上（含八年）工作经验得3分； 赋分依据：须提供工作证明文件或被服务单位加盖公章的证明材料，不提供或缺漏项不得分。 六、绿化人员（满分3分） 提供的绿化维护人员具有三年以上（含三年）工作经验得1分；具有五年以上（含五年）工作经验得2分；具有八年以上（含八年）工作经验得3分； 赋分依据：须提供工作证明文件或被服务单位加盖公章的证明材料，不提供或缺漏项不得分。 注：签订合同前由采购人核查提供人员情况，若与投标承诺不符，按提供虚假承诺予以废标，并依据相关法律法规处理。</w:t>
            </w:r>
          </w:p>
        </w:tc>
        <w:tc>
          <w:tcPr>
            <w:tcW w:type="dxa" w:w="831"/>
          </w:tcPr>
          <w:p>
            <w:pPr>
              <w:pStyle w:val="null3"/>
              <w:jc w:val="right"/>
            </w:pPr>
            <w:r>
              <w:rPr>
                <w:rFonts w:ascii="仿宋_GB2312" w:hAnsi="仿宋_GB2312" w:cs="仿宋_GB2312" w:eastAsia="仿宋_GB2312"/>
              </w:rPr>
              <w:t>29.5000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一、 保洁用具（1分）：供应商承诺配备大型保洁用具（如：洗地机/扫地车/高压冲洗机等）的得1分； 须提供设备清单（含设备名称、数量、型号）及设备发票并加盖公章，不提供不得分。 二、 安保用具（1分）：供应商承诺配备防暴盾牌、钢叉等安保器械的得1分； 须提供设备清单及设备发票并加盖公章，不提供不得分。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设备配置.docx</w:t>
            </w:r>
          </w:p>
        </w:tc>
      </w:tr>
      <w:tr>
        <w:tc>
          <w:tcPr>
            <w:tcW w:type="dxa" w:w="831"/>
            <w:vMerge/>
          </w:tcPr>
          <w:p/>
        </w:tc>
        <w:tc>
          <w:tcPr>
            <w:tcW w:type="dxa" w:w="1661"/>
          </w:tcPr>
          <w:p>
            <w:pPr>
              <w:pStyle w:val="null3"/>
            </w:pPr>
            <w:r>
              <w:rPr>
                <w:rFonts w:ascii="仿宋_GB2312" w:hAnsi="仿宋_GB2312" w:cs="仿宋_GB2312" w:eastAsia="仿宋_GB2312"/>
              </w:rPr>
              <w:t>服务承诺函</w:t>
            </w:r>
          </w:p>
        </w:tc>
        <w:tc>
          <w:tcPr>
            <w:tcW w:type="dxa" w:w="2492"/>
          </w:tcPr>
          <w:p>
            <w:pPr>
              <w:pStyle w:val="null3"/>
            </w:pPr>
            <w:r>
              <w:rPr>
                <w:rFonts w:ascii="仿宋_GB2312" w:hAnsi="仿宋_GB2312" w:cs="仿宋_GB2312" w:eastAsia="仿宋_GB2312"/>
              </w:rPr>
              <w:t>服务承诺函 1.5分 供应商提供书面服务承诺函（加盖公章），按以下标准评分： （1）承诺无顾客投诉，得0.5分； （2）承诺人员年流失率不超过10%，得0.5分； （3）承诺配合采购人临时工作调度及重大活动保障，得0.5分； 注：以上承诺须以书面形式逐项列明并加盖公章，缺项不得分。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服务承诺函.docx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符合2、报价一览表.docx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经初审合格的磋商文件，其最终报价为有效报价。 2. 满足磋商文件要求且最终报价最低的为评标基准价，其价格分为满分30分。 3. 其他供应商的价格分统一按下列公式计算：磋商报价得分＝（评标基准价／最终磋商报价）×30×100% 4. 计算结果保留小数点后两位，第三位四舍五入。 5. 本项目专门面向中小企业预留，不再进行价格优惠扣除进行评审。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符合2、报价一览表.docx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详见附件：资格1、营业执照.docx</w:t>
      </w:r>
    </w:p>
    <w:p>
      <w:pPr>
        <w:pStyle w:val="null3"/>
        <w:ind w:firstLine="960"/>
      </w:pPr>
      <w:r>
        <w:rPr>
          <w:rFonts w:ascii="仿宋_GB2312" w:hAnsi="仿宋_GB2312" w:cs="仿宋_GB2312" w:eastAsia="仿宋_GB2312"/>
        </w:rPr>
        <w:t>详见附件：资格2、财务状况报告.docx</w:t>
      </w:r>
    </w:p>
    <w:p>
      <w:pPr>
        <w:pStyle w:val="null3"/>
        <w:ind w:firstLine="960"/>
      </w:pPr>
      <w:r>
        <w:rPr>
          <w:rFonts w:ascii="仿宋_GB2312" w:hAnsi="仿宋_GB2312" w:cs="仿宋_GB2312" w:eastAsia="仿宋_GB2312"/>
        </w:rPr>
        <w:t>详见附件：资格3、社保缴纳证明.docx</w:t>
      </w:r>
    </w:p>
    <w:p>
      <w:pPr>
        <w:pStyle w:val="null3"/>
        <w:ind w:firstLine="960"/>
      </w:pPr>
      <w:r>
        <w:rPr>
          <w:rFonts w:ascii="仿宋_GB2312" w:hAnsi="仿宋_GB2312" w:cs="仿宋_GB2312" w:eastAsia="仿宋_GB2312"/>
        </w:rPr>
        <w:t>详见附件：资格4、税收缴纳证明.docx</w:t>
      </w:r>
    </w:p>
    <w:p>
      <w:pPr>
        <w:pStyle w:val="null3"/>
        <w:ind w:firstLine="960"/>
      </w:pPr>
      <w:r>
        <w:rPr>
          <w:rFonts w:ascii="仿宋_GB2312" w:hAnsi="仿宋_GB2312" w:cs="仿宋_GB2312" w:eastAsia="仿宋_GB2312"/>
        </w:rPr>
        <w:t>详见附件：资格5、授权委托书.docx</w:t>
      </w:r>
    </w:p>
    <w:p>
      <w:pPr>
        <w:pStyle w:val="null3"/>
        <w:ind w:firstLine="960"/>
      </w:pPr>
      <w:r>
        <w:rPr>
          <w:rFonts w:ascii="仿宋_GB2312" w:hAnsi="仿宋_GB2312" w:cs="仿宋_GB2312" w:eastAsia="仿宋_GB2312"/>
        </w:rPr>
        <w:t>详见附件：资格6、供应商资格声明书.docx</w:t>
      </w:r>
    </w:p>
    <w:p>
      <w:pPr>
        <w:pStyle w:val="null3"/>
        <w:ind w:firstLine="960"/>
      </w:pPr>
      <w:r>
        <w:rPr>
          <w:rFonts w:ascii="仿宋_GB2312" w:hAnsi="仿宋_GB2312" w:cs="仿宋_GB2312" w:eastAsia="仿宋_GB2312"/>
        </w:rPr>
        <w:t>详见附件：资格7、无重大违法记录的书面声明.docx</w:t>
      </w:r>
    </w:p>
    <w:p>
      <w:pPr>
        <w:pStyle w:val="null3"/>
        <w:ind w:firstLine="960"/>
      </w:pPr>
      <w:r>
        <w:rPr>
          <w:rFonts w:ascii="仿宋_GB2312" w:hAnsi="仿宋_GB2312" w:cs="仿宋_GB2312" w:eastAsia="仿宋_GB2312"/>
        </w:rPr>
        <w:t>详见附件：资格8、宝鸡市政府采购供应商诚信承诺书.docx</w:t>
      </w:r>
    </w:p>
    <w:p>
      <w:pPr>
        <w:pStyle w:val="null3"/>
        <w:ind w:firstLine="960"/>
      </w:pPr>
      <w:r>
        <w:rPr>
          <w:rFonts w:ascii="仿宋_GB2312" w:hAnsi="仿宋_GB2312" w:cs="仿宋_GB2312" w:eastAsia="仿宋_GB2312"/>
        </w:rPr>
        <w:t>详见附件：资格9、投标担保信用承诺函.docx</w:t>
      </w:r>
    </w:p>
    <w:p>
      <w:pPr>
        <w:pStyle w:val="null3"/>
        <w:ind w:firstLine="960"/>
      </w:pPr>
      <w:r>
        <w:rPr>
          <w:rFonts w:ascii="仿宋_GB2312" w:hAnsi="仿宋_GB2312" w:cs="仿宋_GB2312" w:eastAsia="仿宋_GB2312"/>
        </w:rPr>
        <w:t>详见附件：符合1、响应函.docx</w:t>
      </w:r>
    </w:p>
    <w:p>
      <w:pPr>
        <w:pStyle w:val="null3"/>
        <w:ind w:firstLine="960"/>
      </w:pPr>
      <w:r>
        <w:rPr>
          <w:rFonts w:ascii="仿宋_GB2312" w:hAnsi="仿宋_GB2312" w:cs="仿宋_GB2312" w:eastAsia="仿宋_GB2312"/>
        </w:rPr>
        <w:t>详见附件：符合2、报价一览表.docx</w:t>
      </w:r>
    </w:p>
    <w:p>
      <w:pPr>
        <w:pStyle w:val="null3"/>
        <w:ind w:firstLine="960"/>
      </w:pPr>
      <w:r>
        <w:rPr>
          <w:rFonts w:ascii="仿宋_GB2312" w:hAnsi="仿宋_GB2312" w:cs="仿宋_GB2312" w:eastAsia="仿宋_GB2312"/>
        </w:rPr>
        <w:t>详见附件：符合3、初次报价分项明细表.docx</w:t>
      </w:r>
    </w:p>
    <w:p>
      <w:pPr>
        <w:pStyle w:val="null3"/>
        <w:ind w:firstLine="960"/>
      </w:pPr>
      <w:r>
        <w:rPr>
          <w:rFonts w:ascii="仿宋_GB2312" w:hAnsi="仿宋_GB2312" w:cs="仿宋_GB2312" w:eastAsia="仿宋_GB2312"/>
        </w:rPr>
        <w:t>详见附件：符合4、采购需求偏离表.docx</w:t>
      </w:r>
    </w:p>
    <w:p>
      <w:pPr>
        <w:pStyle w:val="null3"/>
        <w:ind w:firstLine="960"/>
      </w:pPr>
      <w:r>
        <w:rPr>
          <w:rFonts w:ascii="仿宋_GB2312" w:hAnsi="仿宋_GB2312" w:cs="仿宋_GB2312" w:eastAsia="仿宋_GB2312"/>
        </w:rPr>
        <w:t>详见附件：符合5、合同条款偏离表.docx</w:t>
      </w:r>
    </w:p>
    <w:p>
      <w:pPr>
        <w:pStyle w:val="null3"/>
        <w:ind w:firstLine="960"/>
      </w:pPr>
      <w:r>
        <w:rPr>
          <w:rFonts w:ascii="仿宋_GB2312" w:hAnsi="仿宋_GB2312" w:cs="仿宋_GB2312" w:eastAsia="仿宋_GB2312"/>
        </w:rPr>
        <w:t>详见附件：符合6、派遣人员填写信息表.docx</w:t>
      </w:r>
    </w:p>
    <w:p>
      <w:pPr>
        <w:pStyle w:val="null3"/>
        <w:ind w:firstLine="960"/>
      </w:pPr>
      <w:r>
        <w:rPr>
          <w:rFonts w:ascii="仿宋_GB2312" w:hAnsi="仿宋_GB2312" w:cs="仿宋_GB2312" w:eastAsia="仿宋_GB2312"/>
        </w:rPr>
        <w:t>详见附件：符合7、供应商关联单位说明的书面承诺函.docx</w:t>
      </w:r>
    </w:p>
    <w:p>
      <w:pPr>
        <w:pStyle w:val="null3"/>
        <w:ind w:firstLine="960"/>
      </w:pPr>
      <w:r>
        <w:rPr>
          <w:rFonts w:ascii="仿宋_GB2312" w:hAnsi="仿宋_GB2312" w:cs="仿宋_GB2312" w:eastAsia="仿宋_GB2312"/>
        </w:rPr>
        <w:t>详见附件：安保服务方案.docx</w:t>
      </w:r>
    </w:p>
    <w:p>
      <w:pPr>
        <w:pStyle w:val="null3"/>
        <w:ind w:firstLine="960"/>
      </w:pPr>
      <w:r>
        <w:rPr>
          <w:rFonts w:ascii="仿宋_GB2312" w:hAnsi="仿宋_GB2312" w:cs="仿宋_GB2312" w:eastAsia="仿宋_GB2312"/>
        </w:rPr>
        <w:t>详见附件：保洁服务方案.docx</w:t>
      </w:r>
    </w:p>
    <w:p>
      <w:pPr>
        <w:pStyle w:val="null3"/>
        <w:ind w:firstLine="960"/>
      </w:pPr>
      <w:r>
        <w:rPr>
          <w:rFonts w:ascii="仿宋_GB2312" w:hAnsi="仿宋_GB2312" w:cs="仿宋_GB2312" w:eastAsia="仿宋_GB2312"/>
        </w:rPr>
        <w:t>详见附件：服务承诺函.docx</w:t>
      </w:r>
    </w:p>
    <w:p>
      <w:pPr>
        <w:pStyle w:val="null3"/>
        <w:ind w:firstLine="960"/>
      </w:pPr>
      <w:r>
        <w:rPr>
          <w:rFonts w:ascii="仿宋_GB2312" w:hAnsi="仿宋_GB2312" w:cs="仿宋_GB2312" w:eastAsia="仿宋_GB2312"/>
        </w:rPr>
        <w:t>详见附件：绿化及维修服务方案.docx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详见附件：设备配置.docx</w:t>
      </w:r>
    </w:p>
    <w:p>
      <w:pPr>
        <w:pStyle w:val="null3"/>
        <w:ind w:firstLine="960"/>
      </w:pPr>
      <w:r>
        <w:rPr>
          <w:rFonts w:ascii="仿宋_GB2312" w:hAnsi="仿宋_GB2312" w:cs="仿宋_GB2312" w:eastAsia="仿宋_GB2312"/>
        </w:rPr>
        <w:t>详见附件：应急处理预案.docx</w:t>
      </w:r>
    </w:p>
    <w:p>
      <w:pPr>
        <w:pStyle w:val="null3"/>
        <w:ind w:firstLine="960"/>
      </w:pPr>
      <w:r>
        <w:rPr>
          <w:rFonts w:ascii="仿宋_GB2312" w:hAnsi="仿宋_GB2312" w:cs="仿宋_GB2312" w:eastAsia="仿宋_GB2312"/>
        </w:rPr>
        <w:t>详见附件：供应商业绩汇总表.docx</w:t>
      </w:r>
    </w:p>
    <w:p>
      <w:pPr>
        <w:pStyle w:val="null3"/>
        <w:ind w:firstLine="960"/>
      </w:pPr>
      <w:r>
        <w:rPr>
          <w:rFonts w:ascii="仿宋_GB2312" w:hAnsi="仿宋_GB2312" w:cs="仿宋_GB2312" w:eastAsia="仿宋_GB2312"/>
        </w:rPr>
        <w:t>详见附件：管理制度.docx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