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版本号：ZCZX2026-CS-125.1B120260824001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曲江新区城市管理工作人员人身意外伤害保险(二次)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ZCZX2026-CS-125.1B1</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曲江新区城市管理工作人员人身意外伤害保险(二次)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ZCZX2026-CS-125.1B1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曲江新区城市管理工作人员人身意外伤害保险(二次)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为保障执法工作顺利开展，保证执法队员的人身安全，现需采购人身意外伤害保险，为期一年。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及授权代表本单位：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pPr>
      <w:r>
        <w:rPr>
          <w:rFonts w:ascii="仿宋_GB2312" w:hAnsi="仿宋_GB2312" w:cs="仿宋_GB2312" w:eastAsia="仿宋_GB2312"/>
        </w:rPr>
        <w:t>2、资格：供应商应具备有效的《保险许可证》或《金融许可证》(分支机构参与投标的须提供总公司出具的唯一授权书，总公司授权一家分支机构参与投标，且不能与分支机构同时参与投标）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029-68660318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魏江南、吴芳超、雷高峰、张斌、孟凌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采购包1：367,800.00元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国家计委关于印发《招标代理服务收费管理暂行办法》的通知（计价格〔2002〕1980号）、《国家发展和改革委员会办公厅关于招标代理服务收费有关问题的通知》（发改办价格〔2003〕857号）规定按预算价向中标（成交）供应商收取代理服务费，不足8000元，按8000元收取。 2、成交单位的代理服务费交纳信息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联系人：魏江南、吴芳超</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为保障执法工作顺利开展，保证执法队员的人身安全，现需采购人身意外伤害保险，为期一年。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367,800.00</w:t>
      </w:r>
    </w:p>
    <w:p>
      <w:pPr>
        <w:pStyle w:val="null3"/>
      </w:pPr>
      <w:r>
        <w:rPr>
          <w:rFonts w:ascii="仿宋_GB2312" w:hAnsi="仿宋_GB2312" w:cs="仿宋_GB2312" w:eastAsia="仿宋_GB2312"/>
        </w:rPr>
        <w:t>采购包最高限价（元）: 367,800.00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曲江新区城市管理工作人员人身意外伤害保险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367,800.00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标的名称：曲江新区城市管理工作人员人身意外伤害保险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为保障执法工作顺利开展，保证执法队员的人身安全，现需采购人身意外伤害保险，为期一年。</w:t>
            </w:r>
          </w:p>
          <w:p>
            <w:pPr>
              <w:pStyle w:val="null3"/>
              <w:jc w:val="both"/>
            </w:pPr>
            <w:r>
              <w:rPr>
                <w:rFonts w:ascii="仿宋_GB2312" w:hAnsi="仿宋_GB2312" w:cs="仿宋_GB2312" w:eastAsia="仿宋_GB2312"/>
                <w:sz w:val="20"/>
              </w:rPr>
              <w:t>二、服务要求及内容</w:t>
            </w:r>
          </w:p>
          <w:p>
            <w:pPr>
              <w:pStyle w:val="null3"/>
              <w:jc w:val="both"/>
            </w:pPr>
            <w:r>
              <w:rPr>
                <w:rFonts w:ascii="仿宋_GB2312" w:hAnsi="仿宋_GB2312" w:cs="仿宋_GB2312" w:eastAsia="仿宋_GB2312"/>
                <w:sz w:val="20"/>
              </w:rPr>
              <w:t>(一)服务内容</w:t>
            </w:r>
          </w:p>
          <w:p>
            <w:pPr>
              <w:pStyle w:val="null3"/>
              <w:jc w:val="both"/>
            </w:pPr>
            <w:r>
              <w:rPr>
                <w:rFonts w:ascii="仿宋_GB2312" w:hAnsi="仿宋_GB2312" w:cs="仿宋_GB2312" w:eastAsia="仿宋_GB2312"/>
                <w:sz w:val="20"/>
              </w:rPr>
              <w:t>1、投保人数：共613人（保险费单价金额不变，最终以合同确定的实际参保人数为准）。</w:t>
            </w:r>
          </w:p>
          <w:p>
            <w:pPr>
              <w:pStyle w:val="null3"/>
              <w:jc w:val="both"/>
            </w:pPr>
            <w:r>
              <w:rPr>
                <w:rFonts w:ascii="仿宋_GB2312" w:hAnsi="仿宋_GB2312" w:cs="仿宋_GB2312" w:eastAsia="仿宋_GB2312"/>
                <w:sz w:val="20"/>
              </w:rPr>
              <w:t>2、保险费每人每年600元。</w:t>
            </w:r>
          </w:p>
          <w:p>
            <w:pPr>
              <w:pStyle w:val="null3"/>
              <w:jc w:val="both"/>
            </w:pPr>
            <w:r>
              <w:rPr>
                <w:rFonts w:ascii="仿宋_GB2312" w:hAnsi="仿宋_GB2312" w:cs="仿宋_GB2312" w:eastAsia="仿宋_GB2312"/>
                <w:sz w:val="20"/>
              </w:rPr>
              <w:t>3、供应商必须承诺因第三方责任导致员工意外死亡伤残，不受第三方赔付限制，按照保额正常赔付。</w:t>
            </w:r>
          </w:p>
          <w:p>
            <w:pPr>
              <w:pStyle w:val="null3"/>
              <w:jc w:val="both"/>
            </w:pPr>
            <w:r>
              <w:rPr>
                <w:rFonts w:ascii="仿宋_GB2312" w:hAnsi="仿宋_GB2312" w:cs="仿宋_GB2312" w:eastAsia="仿宋_GB2312"/>
                <w:sz w:val="20"/>
              </w:rPr>
              <w:t>4、理赔金额要求大于等于以下数额（</w:t>
            </w:r>
            <w:r>
              <w:rPr>
                <w:rFonts w:ascii="仿宋_GB2312" w:hAnsi="仿宋_GB2312" w:cs="仿宋_GB2312" w:eastAsia="仿宋_GB2312"/>
                <w:sz w:val="20"/>
                <w:b/>
              </w:rPr>
              <w:t>实质性条款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1）意外伤害身故：金额100万元/人。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2）意外伤害伤残：金额100万元/人。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3）意外伤害医疗：金额5万元/人。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4）乘坐汽车意外伤害身故/残疾：金额80万/人。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5）自驾车意外伤害身故/残疾：金额80万/人。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6）疾病住院医疗：金额4万/人。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7）疾病身故：金额25万/人。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8）住院津贴：金额300元/人/天。</w:t>
            </w:r>
          </w:p>
          <w:p>
            <w:pPr>
              <w:pStyle w:val="null3"/>
              <w:jc w:val="both"/>
            </w:pPr>
            <w:r>
              <w:rPr>
                <w:rFonts w:ascii="仿宋_GB2312" w:hAnsi="仿宋_GB2312" w:cs="仿宋_GB2312" w:eastAsia="仿宋_GB2312"/>
                <w:sz w:val="20"/>
              </w:rPr>
              <w:t>注：在保险费不变的情况下，各供应商应根据自身情况确定保险赔偿限额。</w:t>
            </w:r>
          </w:p>
          <w:p>
            <w:pPr>
              <w:pStyle w:val="null3"/>
              <w:jc w:val="both"/>
            </w:pPr>
            <w:r>
              <w:rPr>
                <w:rFonts w:ascii="仿宋_GB2312" w:hAnsi="仿宋_GB2312" w:cs="仿宋_GB2312" w:eastAsia="仿宋_GB2312"/>
                <w:sz w:val="20"/>
              </w:rPr>
              <w:t>(二)服务要求</w:t>
            </w:r>
          </w:p>
          <w:p>
            <w:pPr>
              <w:pStyle w:val="null3"/>
              <w:jc w:val="both"/>
            </w:pPr>
            <w:r>
              <w:rPr>
                <w:rFonts w:ascii="仿宋_GB2312" w:hAnsi="仿宋_GB2312" w:cs="仿宋_GB2312" w:eastAsia="仿宋_GB2312"/>
                <w:sz w:val="20"/>
              </w:rPr>
              <w:t>1、供应商收到申请人的保险金给付申请书及相关证明和资料后，将及时作出核定。经核定后确定属于保险责任的，在与申请人达成给付保险金协议后十日内，履行给付保险金的义务；不属于保险责任的，将自作出核定之日起三日内向申请人发出拒绝给付保证金通知书，并说明理由。</w:t>
            </w:r>
          </w:p>
          <w:p>
            <w:pPr>
              <w:pStyle w:val="null3"/>
              <w:jc w:val="both"/>
            </w:pPr>
            <w:r>
              <w:rPr>
                <w:rFonts w:ascii="仿宋_GB2312" w:hAnsi="仿宋_GB2312" w:cs="仿宋_GB2312" w:eastAsia="仿宋_GB2312"/>
                <w:sz w:val="20"/>
              </w:rPr>
              <w:t>2、有合规经营机构，全天24小时接受被保险人或居民咨询和索赔需求，出险后3小时内上门服务，5个工作日内进行理赔处理结案。</w:t>
            </w:r>
          </w:p>
          <w:p>
            <w:pPr>
              <w:pStyle w:val="null3"/>
              <w:jc w:val="both"/>
            </w:pPr>
            <w:r>
              <w:rPr>
                <w:rFonts w:ascii="仿宋_GB2312" w:hAnsi="仿宋_GB2312" w:cs="仿宋_GB2312" w:eastAsia="仿宋_GB2312"/>
                <w:sz w:val="20"/>
              </w:rPr>
              <w:t>3、加强沟通协调。供应商按照公司职责，加强协作配合，进一步分工合理，职责明确，协商沟通，规范有序的工作机制，确保取得实效。</w:t>
            </w:r>
          </w:p>
          <w:p>
            <w:pPr>
              <w:pStyle w:val="null3"/>
              <w:jc w:val="both"/>
            </w:pPr>
            <w:r>
              <w:rPr>
                <w:rFonts w:ascii="仿宋_GB2312" w:hAnsi="仿宋_GB2312" w:cs="仿宋_GB2312" w:eastAsia="仿宋_GB2312"/>
                <w:sz w:val="20"/>
              </w:rPr>
              <w:t>4、服务团队配置合理，职责明确，具备相应的专业能力，能</w:t>
            </w:r>
            <w:r>
              <w:rPr>
                <w:rFonts w:ascii="仿宋_GB2312" w:hAnsi="仿宋_GB2312" w:cs="仿宋_GB2312" w:eastAsia="仿宋_GB2312"/>
                <w:sz w:val="20"/>
              </w:rPr>
              <w:t>够完全满足服务需求。</w:t>
            </w:r>
          </w:p>
          <w:p>
            <w:pPr>
              <w:pStyle w:val="null3"/>
              <w:jc w:val="both"/>
            </w:pPr>
            <w:r>
              <w:rPr>
                <w:rFonts w:ascii="仿宋_GB2312" w:hAnsi="仿宋_GB2312" w:cs="仿宋_GB2312" w:eastAsia="仿宋_GB2312"/>
                <w:sz w:val="20"/>
              </w:rPr>
              <w:t>三、商务要求</w:t>
            </w:r>
          </w:p>
          <w:p>
            <w:pPr>
              <w:pStyle w:val="null3"/>
              <w:jc w:val="both"/>
            </w:pPr>
            <w:r>
              <w:rPr>
                <w:rFonts w:ascii="仿宋_GB2312" w:hAnsi="仿宋_GB2312" w:cs="仿宋_GB2312" w:eastAsia="仿宋_GB2312"/>
                <w:sz w:val="20"/>
              </w:rPr>
              <w:t>1、服务期：自合同签订之日起一年。</w:t>
            </w:r>
          </w:p>
          <w:p>
            <w:pPr>
              <w:pStyle w:val="null3"/>
              <w:jc w:val="both"/>
            </w:pPr>
            <w:r>
              <w:rPr>
                <w:rFonts w:ascii="仿宋_GB2312" w:hAnsi="仿宋_GB2312" w:cs="仿宋_GB2312" w:eastAsia="仿宋_GB2312"/>
                <w:sz w:val="20"/>
              </w:rPr>
              <w:t>2、服务地点：采购人指定地点。</w:t>
            </w:r>
          </w:p>
          <w:p>
            <w:pPr>
              <w:pStyle w:val="null3"/>
              <w:jc w:val="both"/>
            </w:pPr>
            <w:r>
              <w:rPr>
                <w:rFonts w:ascii="仿宋_GB2312" w:hAnsi="仿宋_GB2312" w:cs="仿宋_GB2312" w:eastAsia="仿宋_GB2312"/>
                <w:sz w:val="20"/>
              </w:rPr>
              <w:t>3、付款方式：保险费单价金额不变，最终以合同确定的实际参保人数为准，据实结算。</w:t>
            </w:r>
          </w:p>
          <w:p>
            <w:pPr>
              <w:pStyle w:val="null3"/>
              <w:jc w:val="both"/>
            </w:pPr>
            <w:r>
              <w:rPr>
                <w:rFonts w:ascii="仿宋_GB2312" w:hAnsi="仿宋_GB2312" w:cs="仿宋_GB2312" w:eastAsia="仿宋_GB2312"/>
                <w:sz w:val="20"/>
              </w:rPr>
              <w:t>四、其他</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服务执行的标准、规范：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1）国家标准、规范；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2）行业标准、规范；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3）地方标准、规范；</w:t>
            </w:r>
          </w:p>
          <w:p>
            <w:pPr>
              <w:pStyle w:val="null3"/>
            </w:pPr>
            <w:r>
              <w:rPr>
                <w:rFonts w:ascii="仿宋_GB2312" w:hAnsi="仿宋_GB2312" w:cs="仿宋_GB2312" w:eastAsia="仿宋_GB2312"/>
                <w:sz w:val="21"/>
              </w:rPr>
              <w:t>（4）企业标准、规范。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服务团队配置合理，职责明确，具备相应的专业能力，能够完全满足服务需求。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本项目报价形式为每人各项保险金额报价合计，因系统原因，供应商在首次报价和最后报价环节，需注意以下2点： 1、在系统填写报价时候，供应商报价均为预算价（即367800.00元）。 2、将磋商响应报价表及报价明细表填写盖章后扫描成PDF，每次报价时作为附件上传。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保险费单价金额不变，最终以合同确定的实际参保人数为准，达到付款条件起30个工作日内，支付合同总金额的100.0%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成交供应商领取通知书时提供纸质文件2份，纸质版文件须是电子化交易平台系统生成的响应文件。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授权书及授权代表本单位</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w:t>
            </w:r>
          </w:p>
        </w:tc>
        <w:tc>
          <w:tcPr>
            <w:tcW w:type="dxa" w:w="3322"/>
          </w:tcPr>
          <w:p>
            <w:pPr>
              <w:pStyle w:val="null3"/>
            </w:pPr>
            <w:r>
              <w:rPr>
                <w:rFonts w:ascii="仿宋_GB2312" w:hAnsi="仿宋_GB2312" w:cs="仿宋_GB2312" w:eastAsia="仿宋_GB2312"/>
              </w:rPr>
              <w:t>供应商应具备有效的《保险许可证》或《金融许可证》(分支机构参与投标的须提供总公司出具的唯一授权书，总公司授权一家分支机构参与投标，且不能与分支机构同时参与投标）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通过符合性审查供应商的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磋商响应文件加盖供应商单位公章或签字</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报价不得超出采购预算或最高限价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报价表 保额报价表.docx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商务要求（合同草案条款）偏离表.docx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须根据项目情况提供服务方案，包括但不限于：1.承保服务，包括但不限于投保资料收集核验、人员信息系统录入与审核、承保日常沟通与咨询答疑服务等；2.理赔服务，包括但不限于报案受理与现场勘查、理赔资料收集审核、案件核定与赔款支付、重大案件专项处置、理赔咨询与回访服务等；3.业务管理制度，包括但不限于投保承保管理制度、服务响应时效管控制度、服务质量考核管理制度等；4.档案管理方案，包括但不限于保单全周期管理、参保及理赔档案按期留存等；5.培训宣传服务，包括但不限于保险保障宣讲、安全防护培训、理赔流程讲解等；6.保密方案，包括但不限于参保人员隐私信息分级管理、业务数据加密存储与安全传输等；7.应急保障预案，包括但不限于重大伤亡事故处置、异地出险应急、信息泄露处置等；方案体系完整、逻辑严谨、贴合本项目实际、落地性强。完整提供上述7项内容的得28分；每有一项未提供扣4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1.合规经营情况（4分） 提供供应商近3年无监管处罚、无风险警示公示证明材料的得4分。 2.企业偿付能力 （8分） 根据供应商2025 年度末综合偿付能力充足率进行评分： （1）综合偿付能力充足率≥200%，得8分； （2）150%≤综合偿付能力充足率＜200%，得5分； （3）100%≤综合偿付能力充足率＜150%，得3分； （4）综合偿付能力充足率＜100%，不得分。 注：须提供经审计的年度偿付能力报告或中国保险行业协会官网公示的偿付能力报告复印件加盖公章。未提供相关内容不得分。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根据供应商提供的人员配备进行评审打分： 1.项目负责人具有3年及以上人身保险服务管理经验的得4分，其他不得分。 提供相关证明材料(包括但不限于合同、业主证明、成果文件)。 2.针对本项目组建专属项目服务小组，配置人员包括项目负责人、承保专员、理赔专员等，提供完整岗位分工名单及有效的保险从业执业证件； 3.出险后配置专职人员开展定期客户回访，提供回访人员名单及有效的保险从业执业证件； 以上每项4分，共3小项，满分12分；缺项或达不到要求的扣4分，扣完为止。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本项目提供具体的服务质量保证措施，包括但不限于：1.服务质量保证措施；2.响应时效；3.售后服务。方案体系完整、逻辑严谨、贴合本项目实际、落地性强。完整提供上述3项内容的得12分；每有一项未提供扣4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1.理赔时效履约承诺。严格遵照约定时效处理案件，资料齐全限时审核赔付，逾期未赔付自愿承担相应补偿。 2.参保人员信息保密承诺。严格保密参保人员身份信息、理赔材料、泄密承担赔偿责任。 以上承诺每提供一项得3分，满分6分，缺一项扣3分，扣完为止。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根据本项目提供实质性的增值服务，包括但不限于风险管理、法律援助、服务承诺等内容，每提供1项得1分，最高5分（以书面声明承诺为准，无书面声明承诺不得分）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提供自2023年1月1日至今同类项目的业绩，业绩以合同为依据，每提供一个计2分，满分10分。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满足磋商文件要求且最后报价最高的供应商的价格为磋商基准价，其价格分为满分。其他供应商的价格分统一按照下列公式计算：磋商报价得分=（最后磋商报价/磋商基准价）×价格权值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保额报价表.docx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详见附件：保额报价表.docx</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详见附件：商务要求（合同草案条款）偏离表.docx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