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323D6">
      <w:pPr>
        <w:adjustRightInd w:val="0"/>
        <w:snapToGrid w:val="0"/>
        <w:spacing w:line="360" w:lineRule="auto"/>
        <w:ind w:firstLine="422" w:firstLineChars="200"/>
        <w:rPr>
          <w:rFonts w:hint="eastAsia" w:asciiTheme="minorEastAsia" w:hAnsiTheme="minorEastAsia"/>
          <w:szCs w:val="21"/>
        </w:rPr>
      </w:pPr>
      <w:r>
        <w:rPr>
          <w:rFonts w:asciiTheme="minorEastAsia" w:hAnsiTheme="minorEastAsia"/>
          <w:b/>
          <w:szCs w:val="21"/>
        </w:rPr>
        <w:t>甲方：（</w:t>
      </w:r>
      <w:r>
        <w:rPr>
          <w:rFonts w:asciiTheme="minorEastAsia" w:hAnsiTheme="minorEastAsia"/>
          <w:szCs w:val="21"/>
        </w:rPr>
        <w:t>前款所称采购人）         住所：</w:t>
      </w:r>
    </w:p>
    <w:p w14:paraId="6F52CD23">
      <w:pPr>
        <w:adjustRightInd w:val="0"/>
        <w:snapToGrid w:val="0"/>
        <w:spacing w:line="360" w:lineRule="auto"/>
        <w:ind w:firstLine="422" w:firstLineChars="200"/>
        <w:rPr>
          <w:rFonts w:hint="eastAsia" w:asciiTheme="minorEastAsia" w:hAnsiTheme="minorEastAsia"/>
          <w:szCs w:val="21"/>
        </w:rPr>
      </w:pPr>
      <w:r>
        <w:rPr>
          <w:rFonts w:asciiTheme="minorEastAsia" w:hAnsiTheme="minorEastAsia"/>
          <w:b/>
          <w:szCs w:val="21"/>
        </w:rPr>
        <w:t>乙方：</w:t>
      </w:r>
      <w:r>
        <w:rPr>
          <w:rFonts w:asciiTheme="minorEastAsia" w:hAnsiTheme="minorEastAsia"/>
          <w:szCs w:val="21"/>
        </w:rPr>
        <w:t>（前款所称成交供应商）     住所：</w:t>
      </w:r>
    </w:p>
    <w:p w14:paraId="5694B66B">
      <w:pPr>
        <w:adjustRightInd w:val="0"/>
        <w:snapToGrid w:val="0"/>
        <w:spacing w:line="360" w:lineRule="auto"/>
        <w:ind w:firstLine="422" w:firstLineChars="200"/>
        <w:rPr>
          <w:rFonts w:hint="eastAsia" w:asciiTheme="minorEastAsia" w:hAnsiTheme="minorEastAsia"/>
          <w:b/>
          <w:szCs w:val="21"/>
        </w:rPr>
      </w:pPr>
      <w:bookmarkStart w:id="0" w:name="_Toc19515384"/>
      <w:r>
        <w:rPr>
          <w:rFonts w:asciiTheme="minorEastAsia" w:hAnsiTheme="minorEastAsia"/>
          <w:b/>
          <w:szCs w:val="21"/>
        </w:rPr>
        <w:t>一、合同内容</w:t>
      </w:r>
    </w:p>
    <w:bookmarkEnd w:id="0"/>
    <w:p w14:paraId="222706B5">
      <w:pPr>
        <w:adjustRightInd w:val="0"/>
        <w:snapToGrid w:val="0"/>
        <w:spacing w:line="360" w:lineRule="auto"/>
        <w:ind w:firstLine="420" w:firstLineChars="200"/>
        <w:rPr>
          <w:rFonts w:hint="eastAsia" w:asciiTheme="minorEastAsia" w:hAnsiTheme="minorEastAsia"/>
          <w:bCs/>
          <w:szCs w:val="21"/>
        </w:rPr>
      </w:pPr>
      <w:bookmarkStart w:id="1" w:name="_Toc19515385"/>
      <w:r>
        <w:rPr>
          <w:rFonts w:asciiTheme="minorEastAsia" w:hAnsiTheme="minorEastAsia"/>
          <w:bCs/>
          <w:szCs w:val="21"/>
        </w:rPr>
        <w:t>人身意外伤害保险</w:t>
      </w:r>
    </w:p>
    <w:p w14:paraId="4E390D71">
      <w:pPr>
        <w:adjustRightInd w:val="0"/>
        <w:snapToGrid w:val="0"/>
        <w:spacing w:line="360" w:lineRule="auto"/>
        <w:ind w:firstLine="422" w:firstLineChars="200"/>
        <w:rPr>
          <w:rFonts w:hint="eastAsia" w:asciiTheme="minorEastAsia" w:hAnsiTheme="minorEastAsia"/>
          <w:b/>
          <w:szCs w:val="21"/>
        </w:rPr>
      </w:pPr>
      <w:r>
        <w:rPr>
          <w:rFonts w:asciiTheme="minorEastAsia" w:hAnsiTheme="minorEastAsia"/>
          <w:b/>
          <w:szCs w:val="21"/>
        </w:rPr>
        <w:t>二、合同价款</w:t>
      </w:r>
      <w:bookmarkEnd w:id="1"/>
    </w:p>
    <w:p w14:paraId="7DC59106">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1、</w:t>
      </w:r>
      <w:r>
        <w:rPr>
          <w:rFonts w:hint="eastAsia" w:asciiTheme="minorEastAsia" w:hAnsiTheme="minorEastAsia"/>
          <w:szCs w:val="21"/>
        </w:rPr>
        <w:t>保险费每人每年600元，投保人数：人员共613人（保险费单价金额不变，最终以合同确定的实际参保人数为准）。</w:t>
      </w:r>
    </w:p>
    <w:p w14:paraId="1F597F61">
      <w:pPr>
        <w:adjustRightInd w:val="0"/>
        <w:snapToGrid w:val="0"/>
        <w:spacing w:line="360" w:lineRule="auto"/>
        <w:ind w:firstLine="420" w:firstLineChars="200"/>
        <w:rPr>
          <w:rFonts w:hint="eastAsia" w:asciiTheme="minorEastAsia" w:hAnsiTheme="minorEastAsia"/>
          <w:szCs w:val="21"/>
        </w:rPr>
      </w:pPr>
      <w:r>
        <w:rPr>
          <w:rFonts w:hint="eastAsia" w:asciiTheme="minorEastAsia" w:hAnsiTheme="minorEastAsia"/>
          <w:szCs w:val="21"/>
        </w:rPr>
        <w:t>2</w:t>
      </w:r>
      <w:r>
        <w:rPr>
          <w:rFonts w:asciiTheme="minorEastAsia" w:hAnsiTheme="minorEastAsia"/>
          <w:szCs w:val="21"/>
        </w:rPr>
        <w:t>、合同</w:t>
      </w:r>
      <w:r>
        <w:rPr>
          <w:rFonts w:hint="eastAsia" w:asciiTheme="minorEastAsia" w:hAnsiTheme="minorEastAsia"/>
          <w:szCs w:val="21"/>
        </w:rPr>
        <w:t>单</w:t>
      </w:r>
      <w:r>
        <w:rPr>
          <w:rFonts w:asciiTheme="minorEastAsia" w:hAnsiTheme="minorEastAsia"/>
          <w:szCs w:val="21"/>
        </w:rPr>
        <w:t>价一次包死，不受市场价变化的影响。</w:t>
      </w:r>
      <w:bookmarkStart w:id="2" w:name="_Toc19515386"/>
    </w:p>
    <w:p w14:paraId="47786ACE">
      <w:pPr>
        <w:adjustRightInd w:val="0"/>
        <w:snapToGrid w:val="0"/>
        <w:spacing w:line="360" w:lineRule="auto"/>
        <w:ind w:firstLine="422" w:firstLineChars="200"/>
        <w:rPr>
          <w:rFonts w:hint="eastAsia" w:asciiTheme="minorEastAsia" w:hAnsiTheme="minorEastAsia"/>
          <w:b/>
          <w:szCs w:val="21"/>
        </w:rPr>
      </w:pPr>
      <w:r>
        <w:rPr>
          <w:rFonts w:asciiTheme="minorEastAsia" w:hAnsiTheme="minorEastAsia"/>
          <w:b/>
          <w:szCs w:val="21"/>
        </w:rPr>
        <w:t>三、合同结算</w:t>
      </w:r>
      <w:bookmarkEnd w:id="2"/>
    </w:p>
    <w:p w14:paraId="71A62E02">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1、资金支付条件及时间：</w:t>
      </w:r>
      <w:r>
        <w:rPr>
          <w:rFonts w:hint="eastAsia" w:asciiTheme="minorEastAsia" w:hAnsiTheme="minorEastAsia"/>
          <w:szCs w:val="21"/>
        </w:rPr>
        <w:t>保险费单价金额不变，最终以合同确定的实际参保人数为准，达到付款条件起30日内，采购人支付合同金额的100%。</w:t>
      </w:r>
    </w:p>
    <w:p w14:paraId="0F400661">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2、结算方式：银行转账。</w:t>
      </w:r>
    </w:p>
    <w:p w14:paraId="26417043">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3、结算单位：由</w:t>
      </w:r>
      <w:r>
        <w:rPr>
          <w:rFonts w:asciiTheme="minorEastAsia" w:hAnsiTheme="minorEastAsia"/>
          <w:szCs w:val="21"/>
          <w:u w:val="single"/>
        </w:rPr>
        <w:t xml:space="preserve"> </w:t>
      </w:r>
      <w:r>
        <w:rPr>
          <w:rFonts w:hint="eastAsia" w:asciiTheme="minorEastAsia" w:hAnsiTheme="minorEastAsia"/>
          <w:szCs w:val="21"/>
          <w:u w:val="single"/>
        </w:rPr>
        <w:t>采购人</w:t>
      </w:r>
      <w:r>
        <w:rPr>
          <w:rFonts w:asciiTheme="minorEastAsia" w:hAnsiTheme="minorEastAsia"/>
          <w:szCs w:val="21"/>
          <w:u w:val="single"/>
        </w:rPr>
        <w:t xml:space="preserve"> </w:t>
      </w:r>
      <w:r>
        <w:rPr>
          <w:rFonts w:asciiTheme="minorEastAsia" w:hAnsiTheme="minorEastAsia"/>
          <w:szCs w:val="21"/>
        </w:rPr>
        <w:t>负责结算，乙方开具合同总价数的全额发票交采购人。</w:t>
      </w:r>
      <w:bookmarkStart w:id="3" w:name="_Toc19515387"/>
    </w:p>
    <w:p w14:paraId="377C7695">
      <w:pPr>
        <w:adjustRightInd w:val="0"/>
        <w:snapToGrid w:val="0"/>
        <w:spacing w:line="360" w:lineRule="auto"/>
        <w:ind w:firstLine="422" w:firstLineChars="200"/>
        <w:rPr>
          <w:rFonts w:hint="eastAsia" w:asciiTheme="minorEastAsia" w:hAnsiTheme="minorEastAsia"/>
          <w:b/>
          <w:szCs w:val="21"/>
        </w:rPr>
      </w:pPr>
      <w:r>
        <w:rPr>
          <w:rFonts w:asciiTheme="minorEastAsia" w:hAnsiTheme="minorEastAsia"/>
          <w:b/>
          <w:szCs w:val="21"/>
        </w:rPr>
        <w:t>四、履行期限、地点及方式:</w:t>
      </w:r>
      <w:bookmarkEnd w:id="3"/>
    </w:p>
    <w:p w14:paraId="3CDE0D78">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1、履行期限：</w:t>
      </w:r>
      <w:r>
        <w:rPr>
          <w:rFonts w:hint="eastAsia" w:asciiTheme="minorEastAsia" w:hAnsiTheme="minorEastAsia"/>
          <w:szCs w:val="21"/>
        </w:rPr>
        <w:t>自</w:t>
      </w:r>
      <w:r>
        <w:rPr>
          <w:rFonts w:asciiTheme="minorEastAsia" w:hAnsiTheme="minorEastAsia"/>
          <w:szCs w:val="21"/>
        </w:rPr>
        <w:t>合同签订</w:t>
      </w:r>
      <w:r>
        <w:rPr>
          <w:rFonts w:hint="eastAsia" w:asciiTheme="minorEastAsia" w:hAnsiTheme="minorEastAsia"/>
          <w:szCs w:val="21"/>
        </w:rPr>
        <w:t>之日起一年</w:t>
      </w:r>
    </w:p>
    <w:p w14:paraId="2DB7782E">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2、地点：</w:t>
      </w:r>
      <w:r>
        <w:rPr>
          <w:rFonts w:hint="eastAsia" w:asciiTheme="minorEastAsia" w:hAnsiTheme="minorEastAsia"/>
          <w:szCs w:val="21"/>
        </w:rPr>
        <w:t>采购人指定地点</w:t>
      </w:r>
    </w:p>
    <w:p w14:paraId="728A5067">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3、方式：</w:t>
      </w:r>
      <w:bookmarkStart w:id="4" w:name="_Toc19515388"/>
      <w:r>
        <w:rPr>
          <w:rFonts w:hint="eastAsia" w:asciiTheme="minorEastAsia" w:hAnsiTheme="minorEastAsia"/>
          <w:szCs w:val="21"/>
        </w:rPr>
        <w:t>采购人指定方式</w:t>
      </w:r>
    </w:p>
    <w:bookmarkEnd w:id="4"/>
    <w:p w14:paraId="3F3B7B80">
      <w:pPr>
        <w:adjustRightInd w:val="0"/>
        <w:snapToGrid w:val="0"/>
        <w:spacing w:line="360" w:lineRule="auto"/>
        <w:ind w:firstLine="422" w:firstLineChars="200"/>
        <w:rPr>
          <w:rFonts w:hint="eastAsia" w:cs="仿宋_GB2312" w:asciiTheme="minorEastAsia" w:hAnsiTheme="minorEastAsia"/>
          <w:szCs w:val="21"/>
        </w:rPr>
      </w:pPr>
      <w:bookmarkStart w:id="5" w:name="_Toc19515389"/>
      <w:r>
        <w:rPr>
          <w:rFonts w:hint="eastAsia" w:cs="仿宋_GB2312" w:asciiTheme="minorEastAsia" w:hAnsiTheme="minorEastAsia"/>
          <w:b/>
          <w:szCs w:val="21"/>
        </w:rPr>
        <w:t>五、</w:t>
      </w:r>
      <w:bookmarkEnd w:id="5"/>
      <w:r>
        <w:rPr>
          <w:rFonts w:hint="eastAsia" w:cs="仿宋_GB2312" w:asciiTheme="minorEastAsia" w:hAnsiTheme="minorEastAsia"/>
          <w:b/>
          <w:bCs/>
          <w:szCs w:val="21"/>
        </w:rPr>
        <w:t>承保服务</w:t>
      </w:r>
    </w:p>
    <w:p w14:paraId="67FDAF8B">
      <w:pPr>
        <w:pStyle w:val="2"/>
        <w:spacing w:line="360" w:lineRule="auto"/>
        <w:rPr>
          <w:rFonts w:hint="eastAsia" w:ascii="宋体" w:hAnsi="宋体" w:cs="宋体"/>
          <w:szCs w:val="21"/>
        </w:rPr>
      </w:pPr>
      <w:r>
        <w:rPr>
          <w:rFonts w:hint="eastAsia" w:ascii="宋体" w:hAnsi="宋体" w:cs="宋体"/>
          <w:szCs w:val="21"/>
        </w:rPr>
        <w:t xml:space="preserve"> 乙方具体负责上述项目的承保工作，并派专人负责本合同所涉及的承保和理赔工作。</w:t>
      </w:r>
    </w:p>
    <w:p w14:paraId="0A4463BB">
      <w:pPr>
        <w:pStyle w:val="2"/>
        <w:spacing w:line="360" w:lineRule="auto"/>
        <w:rPr>
          <w:rFonts w:hint="eastAsia" w:ascii="宋体" w:hAnsi="宋体" w:cs="宋体"/>
          <w:szCs w:val="21"/>
        </w:rPr>
      </w:pPr>
      <w:r>
        <w:rPr>
          <w:rFonts w:hint="eastAsia" w:ascii="宋体" w:hAnsi="宋体" w:cs="宋体"/>
          <w:szCs w:val="21"/>
        </w:rPr>
        <w:t xml:space="preserve"> 1、乙方承保服务专员负责到甲方收集材料；熟悉甲方地址及联系人，双方交换电话及联系方式，为履行合同和保险服务做好准备，同时应做好保险培训工作。</w:t>
      </w:r>
    </w:p>
    <w:p w14:paraId="7CB2B68D">
      <w:pPr>
        <w:pStyle w:val="2"/>
        <w:spacing w:line="360" w:lineRule="auto"/>
        <w:rPr>
          <w:rFonts w:hint="eastAsia" w:ascii="宋体" w:hAnsi="宋体" w:cs="宋体"/>
          <w:szCs w:val="21"/>
        </w:rPr>
      </w:pPr>
      <w:r>
        <w:rPr>
          <w:rFonts w:hint="eastAsia" w:ascii="宋体" w:hAnsi="宋体" w:cs="宋体"/>
          <w:szCs w:val="21"/>
        </w:rPr>
        <w:t>2、甲方在业务投保时须提供正确的所有队员名单和身份证号码，以便乙方输入业务承保系统实名制承保。甲方如有人员变更、调整，应填写相应的批改申请表并加盖公章（原件甲方妥善保管，乙方按时上门收取），在工作时间内以文本形式邮寄或通过传真或者电子邮件通知乙方，乙方接到通知后及时出具批单，变更完毕并以书面的形式反馈给变更单位，批单生效时间为收到完整批改资料之日起次日零时开始。</w:t>
      </w:r>
    </w:p>
    <w:p w14:paraId="6F123336">
      <w:pPr>
        <w:pStyle w:val="2"/>
        <w:spacing w:line="360" w:lineRule="auto"/>
        <w:rPr>
          <w:rFonts w:hint="eastAsia" w:ascii="宋体" w:hAnsi="宋体" w:cs="宋体"/>
          <w:szCs w:val="21"/>
        </w:rPr>
      </w:pPr>
      <w:r>
        <w:rPr>
          <w:rFonts w:hint="eastAsia" w:ascii="宋体" w:hAnsi="宋体" w:cs="宋体"/>
          <w:szCs w:val="21"/>
        </w:rPr>
        <w:t>3、乙方项目服务团队人员原则上不予变动，如遇特殊情况发生变动的，乙方将在变动之日起3 个工作日内书面通知甲方；甲方对乙方所指定的项目人员的服务不满意，提出书面要求之后，乙方将予以更换，并将新更换的人员名单于3个工作日内书面通知甲方。</w:t>
      </w:r>
    </w:p>
    <w:p w14:paraId="28437F5A">
      <w:pPr>
        <w:pStyle w:val="2"/>
        <w:spacing w:line="360" w:lineRule="auto"/>
        <w:rPr>
          <w:rFonts w:hint="eastAsia" w:ascii="宋体" w:hAnsi="宋体" w:cs="宋体"/>
          <w:szCs w:val="21"/>
        </w:rPr>
      </w:pPr>
      <w:r>
        <w:rPr>
          <w:rFonts w:hint="eastAsia" w:ascii="宋体" w:hAnsi="宋体" w:cs="宋体"/>
          <w:szCs w:val="21"/>
        </w:rPr>
        <w:t>4、乙方服务小组联络人每月至少与甲方联系一次，了解相关意见或要求。</w:t>
      </w:r>
    </w:p>
    <w:p w14:paraId="4079665A">
      <w:pPr>
        <w:pStyle w:val="2"/>
        <w:spacing w:line="360" w:lineRule="auto"/>
        <w:rPr>
          <w:rFonts w:hint="eastAsia" w:ascii="宋体" w:hAnsi="宋体" w:cs="宋体"/>
          <w:szCs w:val="21"/>
        </w:rPr>
      </w:pPr>
      <w:r>
        <w:rPr>
          <w:rFonts w:hint="eastAsia" w:ascii="宋体" w:hAnsi="宋体" w:cs="宋体"/>
          <w:szCs w:val="21"/>
        </w:rPr>
        <w:t>5、在反应速度上，对甲方的函件，乙方的专项业务服务小组将在收到函件起三个工作日内做出答复。有结论的，明确答复；暂时无法解决的，及时说明进展情况。</w:t>
      </w:r>
    </w:p>
    <w:p w14:paraId="0C586F8D">
      <w:pPr>
        <w:pStyle w:val="2"/>
        <w:spacing w:line="360" w:lineRule="auto"/>
        <w:rPr>
          <w:rFonts w:hint="eastAsia" w:ascii="宋体" w:hAnsi="宋体" w:cs="宋体"/>
          <w:szCs w:val="21"/>
        </w:rPr>
      </w:pPr>
      <w:r>
        <w:rPr>
          <w:rFonts w:hint="eastAsia" w:ascii="宋体" w:hAnsi="宋体" w:cs="宋体"/>
          <w:szCs w:val="21"/>
        </w:rPr>
        <w:t>6、提供保险培训服务</w:t>
      </w:r>
    </w:p>
    <w:p w14:paraId="37BC3A6E">
      <w:pPr>
        <w:pStyle w:val="2"/>
        <w:spacing w:line="360" w:lineRule="auto"/>
        <w:rPr>
          <w:rFonts w:hint="eastAsia" w:ascii="宋体" w:hAnsi="宋体" w:cs="宋体"/>
          <w:szCs w:val="21"/>
        </w:rPr>
      </w:pPr>
      <w:r>
        <w:rPr>
          <w:rFonts w:hint="eastAsia" w:ascii="宋体" w:hAnsi="宋体" w:cs="宋体"/>
          <w:szCs w:val="21"/>
        </w:rPr>
        <w:t>在保险有效期内，乙方负责为甲方举办至少两次保险和风险管理培训，以提高甲方或其他相关人员的安全意识、风险管理知识和防灾防损技能。培训费用由乙方承担，具体举办时间、地点及内容由甲乙双方共同协商确定。培训的主要内容：保险基础知识、现行主要保险条款及条款解释、承保及理赔实务、各项服务功能、服务优势、针对本保险的专项服务措施及遇到疑难问题及出现紧急情况时的解决方案。培训方式：采用上门集中培训和分散培训相结合的方式。</w:t>
      </w:r>
    </w:p>
    <w:p w14:paraId="4B1A6F5E">
      <w:pPr>
        <w:pStyle w:val="2"/>
        <w:spacing w:line="360" w:lineRule="auto"/>
        <w:rPr>
          <w:rFonts w:hint="eastAsia" w:ascii="宋体" w:hAnsi="宋体" w:cs="宋体"/>
          <w:szCs w:val="21"/>
        </w:rPr>
      </w:pPr>
      <w:r>
        <w:rPr>
          <w:rFonts w:hint="eastAsia" w:ascii="宋体" w:hAnsi="宋体" w:cs="宋体"/>
          <w:szCs w:val="21"/>
        </w:rPr>
        <w:t>7、承保服务小组</w:t>
      </w:r>
    </w:p>
    <w:p w14:paraId="502F4815">
      <w:pPr>
        <w:pStyle w:val="2"/>
        <w:spacing w:line="360" w:lineRule="auto"/>
        <w:rPr>
          <w:rFonts w:hint="eastAsia" w:ascii="宋体" w:hAnsi="宋体" w:cs="宋体"/>
          <w:szCs w:val="21"/>
        </w:rPr>
      </w:pPr>
      <w:r>
        <w:rPr>
          <w:rFonts w:hint="eastAsia" w:ascii="宋体" w:hAnsi="宋体" w:cs="宋体"/>
          <w:szCs w:val="21"/>
        </w:rPr>
        <w:t>针对本项目乙方成立了承保服务小组，负责在保险期限内为保险项目提供及时、全面的承保服务。乙方指派专人为项目经理，主动上门办理投保、承保手续，指导填制投保单，上门递送保险单，并保证甲方获得优先服务的权利。</w:t>
      </w:r>
    </w:p>
    <w:p w14:paraId="40ED2CCA">
      <w:pPr>
        <w:pStyle w:val="2"/>
        <w:spacing w:line="360" w:lineRule="auto"/>
        <w:rPr>
          <w:rFonts w:hint="eastAsia" w:ascii="宋体" w:hAnsi="宋体" w:cs="宋体"/>
          <w:szCs w:val="21"/>
        </w:rPr>
      </w:pPr>
      <w:r>
        <w:rPr>
          <w:rFonts w:hint="eastAsia" w:ascii="宋体" w:hAnsi="宋体" w:cs="宋体"/>
          <w:szCs w:val="21"/>
        </w:rPr>
        <w:t xml:space="preserve">8、乙方承诺：按照甲方要求的时间出具正式保险单，并上门送达。 </w:t>
      </w:r>
    </w:p>
    <w:p w14:paraId="65DC0F15">
      <w:pPr>
        <w:pStyle w:val="2"/>
        <w:spacing w:line="360" w:lineRule="auto"/>
        <w:rPr>
          <w:rFonts w:hint="eastAsia" w:ascii="宋体" w:hAnsi="宋体" w:cs="宋体"/>
          <w:szCs w:val="21"/>
        </w:rPr>
      </w:pPr>
      <w:r>
        <w:rPr>
          <w:rFonts w:hint="eastAsia" w:ascii="宋体" w:hAnsi="宋体" w:cs="宋体"/>
          <w:szCs w:val="21"/>
        </w:rPr>
        <w:t>9、24小时热线电话受理甲方的咨询、投诉等服务。</w:t>
      </w:r>
    </w:p>
    <w:p w14:paraId="463B8054">
      <w:pPr>
        <w:pStyle w:val="2"/>
        <w:spacing w:line="360" w:lineRule="auto"/>
        <w:rPr>
          <w:rFonts w:hint="eastAsia" w:ascii="宋体" w:hAnsi="宋体" w:cs="宋体"/>
          <w:szCs w:val="21"/>
        </w:rPr>
      </w:pPr>
      <w:r>
        <w:rPr>
          <w:rFonts w:hint="eastAsia" w:ascii="宋体" w:hAnsi="宋体" w:cs="宋体"/>
          <w:szCs w:val="21"/>
        </w:rPr>
        <w:t>为保障服务质量，提升服务水平，乙方设立24小时热线服务电话，专人接听，接受业务咨询、报案登记、投诉举报等服务，一经接通将由专人负责记录及受理，电话系统同时进行自动录音。热线工作人员</w:t>
      </w:r>
      <w:r>
        <w:rPr>
          <w:rFonts w:hint="eastAsia" w:ascii="宋体" w:hAnsi="宋体" w:cs="宋体"/>
          <w:szCs w:val="21"/>
          <w:lang w:val="en-US" w:eastAsia="zh-CN"/>
        </w:rPr>
        <w:t>应</w:t>
      </w:r>
      <w:r>
        <w:rPr>
          <w:rFonts w:hint="eastAsia" w:ascii="宋体" w:hAnsi="宋体" w:cs="宋体"/>
          <w:szCs w:val="21"/>
        </w:rPr>
        <w:t>按照公司礼仪流程要求礼貌接听电话、耐心倾听投诉、热情解答疑难问题。</w:t>
      </w:r>
    </w:p>
    <w:p w14:paraId="73B6FF56">
      <w:pPr>
        <w:pStyle w:val="2"/>
        <w:spacing w:line="360" w:lineRule="auto"/>
        <w:rPr>
          <w:rFonts w:hint="eastAsia" w:ascii="宋体" w:hAnsi="宋体" w:cs="宋体"/>
          <w:szCs w:val="21"/>
        </w:rPr>
      </w:pPr>
      <w:r>
        <w:rPr>
          <w:rFonts w:hint="eastAsia" w:ascii="宋体" w:hAnsi="宋体" w:cs="宋体"/>
          <w:szCs w:val="21"/>
        </w:rPr>
        <w:t>10、建立监督机制</w:t>
      </w:r>
    </w:p>
    <w:p w14:paraId="4E6E8ADD">
      <w:pPr>
        <w:pStyle w:val="2"/>
        <w:spacing w:line="360" w:lineRule="auto"/>
        <w:rPr>
          <w:rFonts w:hint="eastAsia" w:ascii="宋体" w:hAnsi="宋体" w:cs="宋体"/>
          <w:szCs w:val="21"/>
        </w:rPr>
      </w:pPr>
      <w:r>
        <w:rPr>
          <w:rFonts w:hint="eastAsia" w:ascii="宋体" w:hAnsi="宋体" w:cs="宋体"/>
          <w:szCs w:val="21"/>
        </w:rPr>
        <w:t>乙方建立完备的监控体系，按照《客户投诉管理流程》和《投诉处罚办法》有关规定，对工作人员违反承诺将给予行政上、经济上的严厉处罚，并按甲方的实际损失给予相应的经济补偿；情节严重的，视情节处罚相关责任人，直至解聘。同时为体现公开、公正、公平的处理原则，特此公布举报电话。</w:t>
      </w:r>
    </w:p>
    <w:p w14:paraId="01D22D9C">
      <w:pPr>
        <w:pStyle w:val="2"/>
        <w:spacing w:line="360" w:lineRule="auto"/>
        <w:ind w:firstLine="422"/>
        <w:rPr>
          <w:rFonts w:hint="eastAsia" w:cs="仿宋_GB2312" w:asciiTheme="minorEastAsia" w:hAnsiTheme="minorEastAsia" w:eastAsiaTheme="minorEastAsia"/>
          <w:b/>
          <w:bCs/>
          <w:szCs w:val="21"/>
        </w:rPr>
      </w:pPr>
      <w:r>
        <w:rPr>
          <w:rFonts w:hint="eastAsia" w:cs="仿宋_GB2312" w:asciiTheme="minorEastAsia" w:hAnsiTheme="minorEastAsia" w:eastAsiaTheme="minorEastAsia"/>
          <w:b/>
          <w:bCs/>
          <w:szCs w:val="21"/>
        </w:rPr>
        <w:t>六、理赔服务</w:t>
      </w:r>
    </w:p>
    <w:p w14:paraId="772C6DAB">
      <w:pPr>
        <w:pStyle w:val="2"/>
        <w:spacing w:line="360" w:lineRule="auto"/>
        <w:rPr>
          <w:rFonts w:hint="eastAsia" w:ascii="宋体" w:hAnsi="宋体" w:cs="宋体"/>
          <w:szCs w:val="21"/>
        </w:rPr>
      </w:pPr>
      <w:r>
        <w:rPr>
          <w:rFonts w:hint="eastAsia" w:ascii="宋体" w:hAnsi="宋体" w:cs="宋体"/>
          <w:szCs w:val="21"/>
        </w:rPr>
        <w:t>1、报案</w:t>
      </w:r>
    </w:p>
    <w:p w14:paraId="7E783B92">
      <w:pPr>
        <w:pStyle w:val="2"/>
        <w:spacing w:line="360" w:lineRule="auto"/>
        <w:rPr>
          <w:rFonts w:hint="eastAsia" w:ascii="宋体" w:hAnsi="宋体" w:cs="宋体"/>
          <w:szCs w:val="21"/>
        </w:rPr>
      </w:pPr>
      <w:r>
        <w:rPr>
          <w:rFonts w:hint="eastAsia" w:ascii="宋体" w:hAnsi="宋体" w:cs="宋体"/>
          <w:szCs w:val="21"/>
        </w:rPr>
        <w:t>被保险人出险后，应于事故发生日48小时之内通知乙方，超出报案时限乙方不再受理报案；甲方可以直接通过乙方服务热线报案，乙方365天 24小时接受报案。</w:t>
      </w:r>
    </w:p>
    <w:p w14:paraId="659249F2">
      <w:pPr>
        <w:pStyle w:val="2"/>
        <w:spacing w:line="360" w:lineRule="auto"/>
        <w:rPr>
          <w:rFonts w:hint="eastAsia" w:ascii="宋体" w:hAnsi="宋体" w:cs="宋体"/>
          <w:szCs w:val="21"/>
        </w:rPr>
      </w:pPr>
      <w:r>
        <w:rPr>
          <w:rFonts w:hint="eastAsia" w:ascii="宋体" w:hAnsi="宋体" w:cs="宋体"/>
          <w:szCs w:val="21"/>
        </w:rPr>
        <w:t>为保证赔案处理连续性，乙方将安排2名理赔服务小组成员为理赔服务指定联系人，指导被保险人全程办理索赔手续，参与赔案处理的全过程，全权负责与赔案各关系方的沟通联络直到结案，同时要求其严格执行首问责任制。</w:t>
      </w:r>
    </w:p>
    <w:p w14:paraId="382BB722">
      <w:pPr>
        <w:pStyle w:val="2"/>
        <w:numPr>
          <w:ilvl w:val="0"/>
          <w:numId w:val="1"/>
        </w:numPr>
        <w:spacing w:line="360" w:lineRule="auto"/>
        <w:rPr>
          <w:rFonts w:hint="eastAsia" w:ascii="宋体" w:hAnsi="宋体" w:cs="宋体"/>
          <w:szCs w:val="21"/>
        </w:rPr>
      </w:pPr>
      <w:r>
        <w:rPr>
          <w:rFonts w:hint="eastAsia" w:ascii="宋体" w:hAnsi="宋体" w:cs="宋体"/>
          <w:szCs w:val="21"/>
        </w:rPr>
        <w:t>理赔过程服务</w:t>
      </w:r>
      <w:bookmarkStart w:id="9" w:name="_GoBack"/>
      <w:bookmarkEnd w:id="9"/>
    </w:p>
    <w:p w14:paraId="001D749D">
      <w:pPr>
        <w:pStyle w:val="2"/>
        <w:spacing w:line="360" w:lineRule="auto"/>
        <w:rPr>
          <w:rFonts w:hint="eastAsia" w:ascii="宋体" w:hAnsi="宋体" w:cs="宋体"/>
          <w:szCs w:val="21"/>
        </w:rPr>
      </w:pPr>
      <w:r>
        <w:rPr>
          <w:rFonts w:hint="eastAsia" w:ascii="宋体" w:hAnsi="宋体" w:cs="宋体"/>
          <w:szCs w:val="21"/>
        </w:rPr>
        <w:t xml:space="preserve">   乙方制定“赔案现场赔付处理办法”，严格按照处理办法执行。</w:t>
      </w:r>
    </w:p>
    <w:p w14:paraId="1D9D169B">
      <w:pPr>
        <w:pStyle w:val="2"/>
        <w:spacing w:line="360" w:lineRule="auto"/>
        <w:rPr>
          <w:rFonts w:hint="eastAsia" w:cs="仿宋_GB2312" w:asciiTheme="minorEastAsia" w:hAnsiTheme="minorEastAsia" w:eastAsiaTheme="minorEastAsia"/>
          <w:b/>
          <w:bCs/>
          <w:szCs w:val="21"/>
        </w:rPr>
      </w:pPr>
      <w:r>
        <w:rPr>
          <w:rFonts w:hint="eastAsia" w:cs="仿宋_GB2312" w:asciiTheme="minorEastAsia" w:hAnsiTheme="minorEastAsia" w:eastAsiaTheme="minorEastAsia"/>
          <w:b/>
          <w:bCs/>
          <w:szCs w:val="21"/>
        </w:rPr>
        <w:t>七、绩效评价与资金支付条款</w:t>
      </w:r>
    </w:p>
    <w:p w14:paraId="2B822573">
      <w:pPr>
        <w:pStyle w:val="2"/>
        <w:spacing w:line="360" w:lineRule="auto"/>
        <w:rPr>
          <w:rFonts w:hint="eastAsia" w:ascii="宋体" w:hAnsi="宋体" w:cs="宋体"/>
          <w:szCs w:val="21"/>
        </w:rPr>
      </w:pPr>
      <w:r>
        <w:rPr>
          <w:rFonts w:hint="eastAsia" w:ascii="宋体" w:hAnsi="宋体" w:cs="宋体"/>
          <w:szCs w:val="21"/>
        </w:rPr>
        <w:t>1.绩效评价机制</w:t>
      </w:r>
    </w:p>
    <w:p w14:paraId="7D150828">
      <w:pPr>
        <w:pStyle w:val="2"/>
        <w:spacing w:line="360" w:lineRule="auto"/>
        <w:rPr>
          <w:rFonts w:hint="eastAsia" w:ascii="宋体" w:hAnsi="宋体" w:cs="宋体"/>
          <w:szCs w:val="21"/>
        </w:rPr>
      </w:pPr>
      <w:r>
        <w:rPr>
          <w:rFonts w:hint="eastAsia" w:ascii="宋体" w:hAnsi="宋体" w:cs="宋体"/>
          <w:szCs w:val="21"/>
        </w:rPr>
        <w:t>甲方负责对乙方的服务成果进行绩效评价，评价内容包括但不限于服务质量、时效性、合规性及用户满意度，绩效评价采用百分制，总分值为100分。</w:t>
      </w:r>
    </w:p>
    <w:p w14:paraId="542F7974">
      <w:pPr>
        <w:pStyle w:val="2"/>
        <w:spacing w:line="360" w:lineRule="auto"/>
        <w:rPr>
          <w:rFonts w:hint="eastAsia" w:ascii="宋体" w:hAnsi="宋体" w:cs="宋体"/>
          <w:szCs w:val="21"/>
        </w:rPr>
      </w:pPr>
      <w:r>
        <w:rPr>
          <w:rFonts w:hint="eastAsia" w:ascii="宋体" w:hAnsi="宋体" w:cs="宋体"/>
          <w:szCs w:val="21"/>
        </w:rPr>
        <w:t>2.资金支付规则</w:t>
      </w:r>
    </w:p>
    <w:p w14:paraId="2B6CB3B1">
      <w:pPr>
        <w:pStyle w:val="2"/>
        <w:spacing w:line="360" w:lineRule="auto"/>
        <w:rPr>
          <w:rFonts w:hint="eastAsia" w:ascii="宋体" w:hAnsi="宋体" w:cs="宋体"/>
          <w:szCs w:val="21"/>
        </w:rPr>
      </w:pPr>
      <w:r>
        <w:rPr>
          <w:rFonts w:hint="eastAsia" w:ascii="宋体" w:hAnsi="宋体" w:cs="宋体"/>
          <w:szCs w:val="21"/>
        </w:rPr>
        <w:t>根据绩效评价结果，甲方按以下比例支付合同款项：</w:t>
      </w:r>
    </w:p>
    <w:p w14:paraId="07C6854A">
      <w:pPr>
        <w:pStyle w:val="2"/>
        <w:spacing w:line="360" w:lineRule="auto"/>
        <w:rPr>
          <w:rFonts w:hint="eastAsia" w:ascii="宋体" w:hAnsi="宋体" w:cs="宋体"/>
          <w:szCs w:val="21"/>
        </w:rPr>
      </w:pPr>
      <w:r>
        <w:rPr>
          <w:rFonts w:hint="eastAsia" w:ascii="宋体" w:hAnsi="宋体" w:cs="宋体"/>
          <w:szCs w:val="21"/>
        </w:rPr>
        <w:t>优秀（≥90分）：支付合同款项的100%；</w:t>
      </w:r>
    </w:p>
    <w:p w14:paraId="0B58D6D3">
      <w:pPr>
        <w:pStyle w:val="2"/>
        <w:spacing w:line="360" w:lineRule="auto"/>
        <w:rPr>
          <w:rFonts w:hint="eastAsia" w:ascii="宋体" w:hAnsi="宋体" w:cs="宋体"/>
          <w:szCs w:val="21"/>
        </w:rPr>
      </w:pPr>
      <w:r>
        <w:rPr>
          <w:rFonts w:hint="eastAsia" w:ascii="宋体" w:hAnsi="宋体" w:cs="宋体"/>
          <w:szCs w:val="21"/>
        </w:rPr>
        <w:t>良好（80-89分）：支付合同款项的90%；</w:t>
      </w:r>
    </w:p>
    <w:p w14:paraId="0FCA04D2">
      <w:pPr>
        <w:pStyle w:val="2"/>
        <w:spacing w:line="360" w:lineRule="auto"/>
        <w:rPr>
          <w:rFonts w:hint="eastAsia" w:ascii="宋体" w:hAnsi="宋体" w:cs="宋体"/>
          <w:szCs w:val="21"/>
        </w:rPr>
      </w:pPr>
      <w:r>
        <w:rPr>
          <w:rFonts w:hint="eastAsia" w:ascii="宋体" w:hAnsi="宋体" w:cs="宋体"/>
          <w:szCs w:val="21"/>
        </w:rPr>
        <w:t>合格（60-79分）：支付合同款项的70%；</w:t>
      </w:r>
    </w:p>
    <w:p w14:paraId="3D7D53D1">
      <w:pPr>
        <w:pStyle w:val="2"/>
        <w:spacing w:line="360" w:lineRule="auto"/>
        <w:rPr>
          <w:rFonts w:hint="eastAsia" w:ascii="宋体" w:hAnsi="宋体" w:cs="宋体"/>
          <w:szCs w:val="21"/>
        </w:rPr>
      </w:pPr>
      <w:r>
        <w:rPr>
          <w:rFonts w:hint="eastAsia" w:ascii="宋体" w:hAnsi="宋体" w:cs="宋体"/>
          <w:szCs w:val="21"/>
        </w:rPr>
        <w:t>不合格（＜60分）：不予支付合同款项。</w:t>
      </w:r>
    </w:p>
    <w:p w14:paraId="050F55AC">
      <w:pPr>
        <w:pStyle w:val="2"/>
        <w:spacing w:line="360" w:lineRule="auto"/>
        <w:ind w:firstLine="422"/>
        <w:rPr>
          <w:rFonts w:hint="eastAsia" w:cs="仿宋_GB2312" w:asciiTheme="minorEastAsia" w:hAnsiTheme="minorEastAsia" w:eastAsiaTheme="minorEastAsia"/>
          <w:b/>
          <w:bCs/>
          <w:szCs w:val="21"/>
        </w:rPr>
      </w:pPr>
      <w:r>
        <w:rPr>
          <w:rFonts w:hint="eastAsia" w:cs="仿宋_GB2312" w:asciiTheme="minorEastAsia" w:hAnsiTheme="minorEastAsia" w:eastAsiaTheme="minorEastAsia"/>
          <w:b/>
          <w:bCs/>
          <w:szCs w:val="21"/>
          <w:lang w:val="en-US" w:eastAsia="zh-CN"/>
        </w:rPr>
        <w:t>八</w:t>
      </w:r>
      <w:r>
        <w:rPr>
          <w:rFonts w:hint="eastAsia" w:cs="仿宋_GB2312" w:asciiTheme="minorEastAsia" w:hAnsiTheme="minorEastAsia" w:eastAsiaTheme="minorEastAsia"/>
          <w:b/>
          <w:bCs/>
          <w:szCs w:val="21"/>
        </w:rPr>
        <w:t>、甲方的权利和义务</w:t>
      </w:r>
    </w:p>
    <w:p w14:paraId="38566886">
      <w:pPr>
        <w:adjustRightInd w:val="0"/>
        <w:snapToGrid w:val="0"/>
        <w:spacing w:line="360" w:lineRule="auto"/>
        <w:ind w:firstLine="420" w:firstLineChars="200"/>
        <w:rPr>
          <w:rFonts w:hint="eastAsia" w:asciiTheme="minorEastAsia" w:hAnsiTheme="minorEastAsia"/>
          <w:szCs w:val="21"/>
        </w:rPr>
      </w:pPr>
      <w:r>
        <w:rPr>
          <w:rFonts w:hint="eastAsia" w:asciiTheme="minorEastAsia" w:hAnsiTheme="minorEastAsia"/>
          <w:szCs w:val="21"/>
        </w:rPr>
        <w:t>1、甲方对乙方的服务人员及乙方提供的服务有监督建议的权利。</w:t>
      </w:r>
    </w:p>
    <w:p w14:paraId="65F4B800">
      <w:pPr>
        <w:adjustRightInd w:val="0"/>
        <w:snapToGrid w:val="0"/>
        <w:spacing w:line="360" w:lineRule="auto"/>
        <w:ind w:firstLine="420" w:firstLineChars="200"/>
        <w:rPr>
          <w:rFonts w:hint="eastAsia" w:asciiTheme="minorEastAsia" w:hAnsiTheme="minorEastAsia"/>
          <w:szCs w:val="21"/>
        </w:rPr>
      </w:pPr>
      <w:r>
        <w:rPr>
          <w:rFonts w:hint="eastAsia" w:asciiTheme="minorEastAsia" w:hAnsiTheme="minorEastAsia"/>
          <w:szCs w:val="21"/>
        </w:rPr>
        <w:t>2</w:t>
      </w:r>
      <w:r>
        <w:rPr>
          <w:rFonts w:asciiTheme="minorEastAsia" w:hAnsiTheme="minorEastAsia"/>
          <w:szCs w:val="21"/>
        </w:rPr>
        <w:t>、国家法律、法规所规定由甲方承担的其它责任。</w:t>
      </w:r>
    </w:p>
    <w:p w14:paraId="7843D175">
      <w:pPr>
        <w:pStyle w:val="2"/>
        <w:spacing w:line="360" w:lineRule="auto"/>
        <w:ind w:firstLine="422"/>
        <w:rPr>
          <w:rFonts w:hint="eastAsia" w:cs="仿宋_GB2312" w:asciiTheme="minorEastAsia" w:hAnsiTheme="minorEastAsia" w:eastAsiaTheme="minorEastAsia"/>
          <w:b/>
          <w:bCs/>
          <w:szCs w:val="21"/>
        </w:rPr>
      </w:pPr>
      <w:r>
        <w:rPr>
          <w:rFonts w:hint="eastAsia" w:cs="仿宋_GB2312" w:asciiTheme="minorEastAsia" w:hAnsiTheme="minorEastAsia" w:eastAsiaTheme="minorEastAsia"/>
          <w:b/>
          <w:bCs/>
          <w:szCs w:val="21"/>
          <w:lang w:val="en-US" w:eastAsia="zh-CN"/>
        </w:rPr>
        <w:t>九</w:t>
      </w:r>
      <w:r>
        <w:rPr>
          <w:rFonts w:hint="eastAsia" w:cs="仿宋_GB2312" w:asciiTheme="minorEastAsia" w:hAnsiTheme="minorEastAsia" w:eastAsiaTheme="minorEastAsia"/>
          <w:b/>
          <w:bCs/>
          <w:szCs w:val="21"/>
        </w:rPr>
        <w:t>、乙方的权利和义务</w:t>
      </w:r>
    </w:p>
    <w:p w14:paraId="5CC76033">
      <w:pPr>
        <w:pStyle w:val="2"/>
        <w:spacing w:line="360" w:lineRule="auto"/>
        <w:rPr>
          <w:rFonts w:hint="eastAsia" w:asciiTheme="minorEastAsia" w:hAnsiTheme="minorEastAsia"/>
          <w:color w:val="0000FF"/>
          <w:szCs w:val="21"/>
        </w:rPr>
      </w:pPr>
      <w:r>
        <w:rPr>
          <w:rFonts w:hint="eastAsia" w:asciiTheme="minorEastAsia" w:hAnsiTheme="minorEastAsia"/>
          <w:szCs w:val="21"/>
        </w:rPr>
        <w:t>1、乙方必须严格履行各项服务承诺，当甲方被保险人出险时乙方应及时响应处理。甲方在合同有效期内有权对乙方进行监督、检查，在合同期内，若一年当中乙方被有效投诉（经查确属乙方责任的5次以后（含5次），乙方有下列情形之一者，取消其保险资格，解除合同。解除合同后，乙方应将保险标的未受损失部分的保险费，按照保险责任开始之日起至合同解除之日止期间与保险期间的日比例计收保险费，并退还剩余部分保险费。</w:t>
      </w:r>
    </w:p>
    <w:p w14:paraId="67C2778A">
      <w:pPr>
        <w:pStyle w:val="2"/>
        <w:spacing w:line="360" w:lineRule="auto"/>
        <w:rPr>
          <w:rFonts w:hint="eastAsia" w:asciiTheme="minorEastAsia" w:hAnsiTheme="minorEastAsia"/>
          <w:szCs w:val="21"/>
        </w:rPr>
      </w:pPr>
      <w:r>
        <w:rPr>
          <w:rFonts w:hint="eastAsia" w:asciiTheme="minorEastAsia" w:hAnsiTheme="minorEastAsia"/>
          <w:szCs w:val="21"/>
        </w:rPr>
        <w:t>（1）服务态度差造成恶劣影响的；</w:t>
      </w:r>
    </w:p>
    <w:p w14:paraId="2A70E25E">
      <w:pPr>
        <w:pStyle w:val="2"/>
        <w:spacing w:line="360" w:lineRule="auto"/>
        <w:rPr>
          <w:rFonts w:hint="eastAsia" w:asciiTheme="minorEastAsia" w:hAnsiTheme="minorEastAsia"/>
          <w:szCs w:val="21"/>
        </w:rPr>
      </w:pPr>
      <w:r>
        <w:rPr>
          <w:rFonts w:hint="eastAsia" w:asciiTheme="minorEastAsia" w:hAnsiTheme="minorEastAsia"/>
          <w:szCs w:val="21"/>
        </w:rPr>
        <w:t>（2）一年内被有效投诉5次以上的；</w:t>
      </w:r>
    </w:p>
    <w:p w14:paraId="47A905F1">
      <w:pPr>
        <w:pStyle w:val="2"/>
        <w:spacing w:line="360" w:lineRule="auto"/>
        <w:rPr>
          <w:rFonts w:hint="eastAsia" w:asciiTheme="minorEastAsia" w:hAnsiTheme="minorEastAsia"/>
          <w:szCs w:val="21"/>
        </w:rPr>
      </w:pPr>
      <w:r>
        <w:rPr>
          <w:rFonts w:hint="eastAsia" w:asciiTheme="minorEastAsia" w:hAnsiTheme="minorEastAsia"/>
          <w:szCs w:val="21"/>
        </w:rPr>
        <w:t>（3）发生属于保险责任内的意外事故、有关部门已做出结论，乙方不能及时理赔的。</w:t>
      </w:r>
    </w:p>
    <w:p w14:paraId="3A55C791">
      <w:pPr>
        <w:pStyle w:val="2"/>
        <w:spacing w:line="360" w:lineRule="auto"/>
        <w:rPr>
          <w:rFonts w:hint="eastAsia" w:asciiTheme="minorEastAsia" w:hAnsiTheme="minorEastAsia"/>
          <w:szCs w:val="21"/>
        </w:rPr>
      </w:pPr>
      <w:r>
        <w:rPr>
          <w:rFonts w:hint="eastAsia" w:asciiTheme="minorEastAsia" w:hAnsiTheme="minorEastAsia"/>
          <w:szCs w:val="21"/>
        </w:rPr>
        <w:t>2、对疑难案件的处理，双方应本着互谅互让的精神，以解决问题的原则友好协商。</w:t>
      </w:r>
    </w:p>
    <w:p w14:paraId="07D5D76D">
      <w:pPr>
        <w:pStyle w:val="2"/>
        <w:spacing w:line="360" w:lineRule="auto"/>
        <w:rPr>
          <w:rFonts w:hint="eastAsia" w:asciiTheme="minorEastAsia" w:hAnsiTheme="minorEastAsia"/>
          <w:szCs w:val="21"/>
        </w:rPr>
      </w:pPr>
      <w:r>
        <w:rPr>
          <w:rFonts w:hint="eastAsia" w:asciiTheme="minorEastAsia" w:hAnsiTheme="minorEastAsia"/>
          <w:szCs w:val="21"/>
        </w:rPr>
        <w:t>3、乙方磋商响应文件中的服务方案及措施为本合同附件，具有同等的法律效力。</w:t>
      </w:r>
    </w:p>
    <w:p w14:paraId="31B62A98">
      <w:pPr>
        <w:pStyle w:val="2"/>
        <w:spacing w:line="360" w:lineRule="auto"/>
        <w:ind w:firstLine="422"/>
        <w:rPr>
          <w:rFonts w:hint="eastAsia" w:cs="仿宋_GB2312" w:asciiTheme="minorEastAsia" w:hAnsiTheme="minorEastAsia" w:eastAsiaTheme="minorEastAsia"/>
          <w:b/>
          <w:bCs/>
          <w:szCs w:val="21"/>
        </w:rPr>
      </w:pPr>
      <w:r>
        <w:rPr>
          <w:rFonts w:hint="eastAsia" w:cs="仿宋_GB2312" w:asciiTheme="minorEastAsia" w:hAnsiTheme="minorEastAsia" w:eastAsiaTheme="minorEastAsia"/>
          <w:b/>
          <w:bCs/>
          <w:szCs w:val="21"/>
          <w:lang w:val="en-US" w:eastAsia="zh-CN"/>
        </w:rPr>
        <w:t>十</w:t>
      </w:r>
      <w:r>
        <w:rPr>
          <w:rFonts w:hint="eastAsia" w:cs="仿宋_GB2312" w:asciiTheme="minorEastAsia" w:hAnsiTheme="minorEastAsia" w:eastAsiaTheme="minorEastAsia"/>
          <w:b/>
          <w:bCs/>
          <w:szCs w:val="21"/>
        </w:rPr>
        <w:t>、违约责任</w:t>
      </w:r>
    </w:p>
    <w:p w14:paraId="348CD353">
      <w:pPr>
        <w:pStyle w:val="2"/>
        <w:spacing w:line="360" w:lineRule="auto"/>
        <w:rPr>
          <w:rFonts w:hint="eastAsia" w:asciiTheme="minorEastAsia" w:hAnsiTheme="minorEastAsia"/>
          <w:szCs w:val="21"/>
        </w:rPr>
      </w:pPr>
      <w:r>
        <w:rPr>
          <w:rFonts w:hint="eastAsia" w:asciiTheme="minorEastAsia" w:hAnsiTheme="minorEastAsia"/>
          <w:szCs w:val="21"/>
        </w:rPr>
        <w:t>1、按《中华人民共和国民法典》《保险法》中的相关条款执行。</w:t>
      </w:r>
    </w:p>
    <w:p w14:paraId="1993E348">
      <w:pPr>
        <w:pStyle w:val="2"/>
        <w:spacing w:line="360" w:lineRule="auto"/>
        <w:rPr>
          <w:rFonts w:hint="eastAsia" w:asciiTheme="minorEastAsia" w:hAnsiTheme="minorEastAsia"/>
          <w:szCs w:val="21"/>
        </w:rPr>
      </w:pPr>
      <w:r>
        <w:rPr>
          <w:rFonts w:hint="eastAsia" w:asciiTheme="minorEastAsia" w:hAnsiTheme="minorEastAsia"/>
          <w:szCs w:val="21"/>
        </w:rPr>
        <w:t>2、未按合同要求提供承保、理赔服务或服务质量不能满足合同技术要求，采购人会同谈判组织机构有权终止合同和对供应商的违约行为进行追究，同时按《政府采购法》处罚条款报监管机构进行相应的处罚。</w:t>
      </w:r>
    </w:p>
    <w:p w14:paraId="5983099C">
      <w:pPr>
        <w:pStyle w:val="2"/>
        <w:spacing w:line="360" w:lineRule="auto"/>
        <w:ind w:firstLine="422"/>
        <w:rPr>
          <w:rFonts w:hint="eastAsia" w:cs="仿宋_GB2312" w:asciiTheme="minorEastAsia" w:hAnsiTheme="minorEastAsia" w:eastAsiaTheme="minorEastAsia"/>
          <w:b/>
          <w:bCs/>
          <w:szCs w:val="21"/>
        </w:rPr>
      </w:pPr>
      <w:bookmarkStart w:id="6" w:name="_Toc19515393"/>
      <w:r>
        <w:rPr>
          <w:rFonts w:hint="eastAsia" w:cs="仿宋_GB2312" w:asciiTheme="minorEastAsia" w:hAnsiTheme="minorEastAsia" w:eastAsiaTheme="minorEastAsia"/>
          <w:b/>
          <w:bCs/>
          <w:szCs w:val="21"/>
        </w:rPr>
        <w:t>十</w:t>
      </w:r>
      <w:r>
        <w:rPr>
          <w:rFonts w:hint="eastAsia" w:cs="仿宋_GB2312" w:asciiTheme="minorEastAsia" w:hAnsiTheme="minorEastAsia" w:eastAsiaTheme="minorEastAsia"/>
          <w:b/>
          <w:bCs/>
          <w:szCs w:val="21"/>
          <w:lang w:val="en-US" w:eastAsia="zh-CN"/>
        </w:rPr>
        <w:t>一</w:t>
      </w:r>
      <w:r>
        <w:rPr>
          <w:rFonts w:hint="eastAsia" w:cs="仿宋_GB2312" w:asciiTheme="minorEastAsia" w:hAnsiTheme="minorEastAsia" w:eastAsiaTheme="minorEastAsia"/>
          <w:b/>
          <w:bCs/>
          <w:szCs w:val="21"/>
        </w:rPr>
        <w:t>、不可抗力事件处理</w:t>
      </w:r>
    </w:p>
    <w:p w14:paraId="13149851">
      <w:pPr>
        <w:adjustRightInd w:val="0"/>
        <w:snapToGrid w:val="0"/>
        <w:spacing w:line="360" w:lineRule="auto"/>
        <w:ind w:firstLine="420" w:firstLineChars="200"/>
        <w:rPr>
          <w:rFonts w:hint="eastAsia" w:asciiTheme="minorEastAsia" w:hAnsiTheme="minorEastAsia"/>
          <w:szCs w:val="21"/>
        </w:rPr>
      </w:pPr>
      <w:r>
        <w:rPr>
          <w:rFonts w:hint="eastAsia" w:asciiTheme="minorEastAsia" w:hAnsiTheme="minorEastAsia"/>
          <w:szCs w:val="21"/>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18240B75">
      <w:pPr>
        <w:adjustRightInd w:val="0"/>
        <w:snapToGrid w:val="0"/>
        <w:spacing w:line="360" w:lineRule="auto"/>
        <w:ind w:firstLine="420" w:firstLineChars="200"/>
        <w:rPr>
          <w:rFonts w:hint="eastAsia" w:asciiTheme="minorEastAsia" w:hAnsiTheme="minorEastAsia"/>
          <w:szCs w:val="21"/>
        </w:rPr>
      </w:pPr>
      <w:r>
        <w:rPr>
          <w:rFonts w:hint="eastAsia" w:asciiTheme="minorEastAsia" w:hAnsiTheme="minorEastAsia"/>
          <w:szCs w:val="21"/>
        </w:rPr>
        <w:t>2、本合同中的不可抗力指不能预见、不能避免并不能克服的客观情况。包括但不限于：自然灾害如地震、台风、洪水、火灾；政府行为、法律规定或其适用的变化或者其他任何无法预见、避免或者控制的事件。</w:t>
      </w:r>
    </w:p>
    <w:p w14:paraId="39D84B8A">
      <w:pPr>
        <w:adjustRightInd w:val="0"/>
        <w:snapToGrid w:val="0"/>
        <w:spacing w:line="360" w:lineRule="auto"/>
        <w:ind w:firstLine="422" w:firstLineChars="200"/>
        <w:rPr>
          <w:rFonts w:hint="eastAsia" w:asciiTheme="minorEastAsia" w:hAnsiTheme="minorEastAsia"/>
          <w:b/>
          <w:szCs w:val="21"/>
        </w:rPr>
      </w:pPr>
      <w:r>
        <w:rPr>
          <w:rFonts w:asciiTheme="minorEastAsia" w:hAnsiTheme="minorEastAsia"/>
          <w:b/>
          <w:szCs w:val="21"/>
        </w:rPr>
        <w:t>十</w:t>
      </w:r>
      <w:r>
        <w:rPr>
          <w:rFonts w:hint="eastAsia" w:asciiTheme="minorEastAsia" w:hAnsiTheme="minorEastAsia"/>
          <w:b/>
          <w:szCs w:val="21"/>
          <w:lang w:val="en-US" w:eastAsia="zh-CN"/>
        </w:rPr>
        <w:t>二</w:t>
      </w:r>
      <w:r>
        <w:rPr>
          <w:rFonts w:asciiTheme="minorEastAsia" w:hAnsiTheme="minorEastAsia"/>
          <w:b/>
          <w:szCs w:val="21"/>
        </w:rPr>
        <w:t>、合同组成</w:t>
      </w:r>
      <w:bookmarkEnd w:id="6"/>
    </w:p>
    <w:p w14:paraId="39D6C446">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1、成交通知书</w:t>
      </w:r>
    </w:p>
    <w:p w14:paraId="7F3494C8">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2、合同文件</w:t>
      </w:r>
    </w:p>
    <w:p w14:paraId="1F3CB751">
      <w:pPr>
        <w:adjustRightInd w:val="0"/>
        <w:snapToGrid w:val="0"/>
        <w:spacing w:line="360" w:lineRule="auto"/>
        <w:ind w:firstLine="420" w:firstLineChars="200"/>
        <w:rPr>
          <w:rFonts w:hint="eastAsia" w:asciiTheme="minorEastAsia" w:hAnsiTheme="minorEastAsia"/>
          <w:szCs w:val="21"/>
        </w:rPr>
      </w:pPr>
      <w:r>
        <w:rPr>
          <w:rFonts w:asciiTheme="minorEastAsia" w:hAnsiTheme="minorEastAsia"/>
          <w:szCs w:val="21"/>
        </w:rPr>
        <w:t>3、国家相关规范及标准</w:t>
      </w:r>
    </w:p>
    <w:p w14:paraId="77515F3C">
      <w:pPr>
        <w:adjustRightInd w:val="0"/>
        <w:snapToGrid w:val="0"/>
        <w:spacing w:line="360" w:lineRule="auto"/>
        <w:ind w:firstLine="420" w:firstLineChars="200"/>
        <w:rPr>
          <w:rFonts w:hint="eastAsia" w:asciiTheme="minorEastAsia" w:hAnsiTheme="minorEastAsia"/>
          <w:szCs w:val="21"/>
        </w:rPr>
      </w:pPr>
      <w:r>
        <w:rPr>
          <w:rFonts w:hint="eastAsia" w:asciiTheme="minorEastAsia" w:hAnsiTheme="minorEastAsia"/>
          <w:szCs w:val="21"/>
        </w:rPr>
        <w:t>4</w:t>
      </w:r>
      <w:r>
        <w:rPr>
          <w:rFonts w:asciiTheme="minorEastAsia" w:hAnsiTheme="minorEastAsia"/>
          <w:szCs w:val="21"/>
        </w:rPr>
        <w:t>、竞争性磋商文件</w:t>
      </w:r>
    </w:p>
    <w:p w14:paraId="07BF8593">
      <w:pPr>
        <w:adjustRightInd w:val="0"/>
        <w:snapToGrid w:val="0"/>
        <w:spacing w:line="360" w:lineRule="auto"/>
        <w:ind w:firstLine="420" w:firstLineChars="200"/>
        <w:rPr>
          <w:rFonts w:hint="eastAsia" w:asciiTheme="minorEastAsia" w:hAnsiTheme="minorEastAsia"/>
          <w:szCs w:val="21"/>
        </w:rPr>
      </w:pPr>
      <w:r>
        <w:rPr>
          <w:rFonts w:hint="eastAsia" w:asciiTheme="minorEastAsia" w:hAnsiTheme="minorEastAsia"/>
          <w:szCs w:val="21"/>
        </w:rPr>
        <w:t>5</w:t>
      </w:r>
      <w:r>
        <w:rPr>
          <w:rFonts w:asciiTheme="minorEastAsia" w:hAnsiTheme="minorEastAsia"/>
          <w:szCs w:val="21"/>
        </w:rPr>
        <w:t>、磋商响应文件</w:t>
      </w:r>
    </w:p>
    <w:p w14:paraId="597406C8">
      <w:pPr>
        <w:adjustRightInd w:val="0"/>
        <w:snapToGrid w:val="0"/>
        <w:spacing w:line="360" w:lineRule="auto"/>
        <w:ind w:firstLine="422" w:firstLineChars="200"/>
        <w:rPr>
          <w:rFonts w:hint="eastAsia" w:asciiTheme="minorEastAsia" w:hAnsiTheme="minorEastAsia"/>
          <w:b/>
          <w:szCs w:val="21"/>
        </w:rPr>
      </w:pPr>
      <w:bookmarkStart w:id="7" w:name="_Toc19515394"/>
      <w:r>
        <w:rPr>
          <w:rFonts w:asciiTheme="minorEastAsia" w:hAnsiTheme="minorEastAsia"/>
          <w:b/>
          <w:szCs w:val="21"/>
        </w:rPr>
        <w:t>十</w:t>
      </w:r>
      <w:r>
        <w:rPr>
          <w:rFonts w:hint="eastAsia" w:asciiTheme="minorEastAsia" w:hAnsiTheme="minorEastAsia"/>
          <w:b/>
          <w:szCs w:val="21"/>
          <w:lang w:val="en-US" w:eastAsia="zh-CN"/>
        </w:rPr>
        <w:t>三</w:t>
      </w:r>
      <w:r>
        <w:rPr>
          <w:rFonts w:asciiTheme="minorEastAsia" w:hAnsiTheme="minorEastAsia"/>
          <w:b/>
          <w:szCs w:val="21"/>
        </w:rPr>
        <w:t>、解决争议的方法</w:t>
      </w:r>
      <w:bookmarkEnd w:id="7"/>
    </w:p>
    <w:p w14:paraId="53351134">
      <w:pPr>
        <w:widowControl/>
        <w:autoSpaceDE w:val="0"/>
        <w:autoSpaceDN w:val="0"/>
        <w:snapToGrid w:val="0"/>
        <w:spacing w:line="360" w:lineRule="auto"/>
        <w:ind w:right="-110" w:firstLine="420" w:firstLineChars="200"/>
        <w:textAlignment w:val="bottom"/>
        <w:rPr>
          <w:rFonts w:hint="eastAsia" w:asciiTheme="minorEastAsia" w:hAnsiTheme="minorEastAsia"/>
          <w:kern w:val="0"/>
          <w:szCs w:val="21"/>
        </w:rPr>
      </w:pPr>
      <w:r>
        <w:rPr>
          <w:rFonts w:asciiTheme="minorEastAsia" w:hAnsiTheme="minorEastAsia"/>
          <w:kern w:val="0"/>
          <w:szCs w:val="21"/>
        </w:rPr>
        <w:t>凡因本合同引起的或与本合同有关的争议，双方应友好协商解决。协商不成时，双方均同意采用以下第（</w:t>
      </w:r>
      <w:r>
        <w:rPr>
          <w:rFonts w:hint="eastAsia" w:asciiTheme="minorEastAsia" w:hAnsiTheme="minorEastAsia"/>
          <w:kern w:val="0"/>
          <w:szCs w:val="21"/>
        </w:rPr>
        <w:t xml:space="preserve"> </w:t>
      </w:r>
      <w:r>
        <w:rPr>
          <w:rFonts w:asciiTheme="minorEastAsia" w:hAnsiTheme="minorEastAsia"/>
          <w:kern w:val="0"/>
          <w:szCs w:val="21"/>
        </w:rPr>
        <w:t>）种争议解决方式：</w:t>
      </w:r>
    </w:p>
    <w:p w14:paraId="35E1DCF8">
      <w:pPr>
        <w:widowControl/>
        <w:autoSpaceDE w:val="0"/>
        <w:autoSpaceDN w:val="0"/>
        <w:snapToGrid w:val="0"/>
        <w:spacing w:line="360" w:lineRule="auto"/>
        <w:ind w:right="-110" w:firstLine="420" w:firstLineChars="200"/>
        <w:textAlignment w:val="bottom"/>
        <w:rPr>
          <w:rFonts w:hint="eastAsia" w:asciiTheme="minorEastAsia" w:hAnsiTheme="minorEastAsia"/>
          <w:kern w:val="0"/>
          <w:szCs w:val="21"/>
        </w:rPr>
      </w:pPr>
      <w:r>
        <w:rPr>
          <w:rFonts w:asciiTheme="minorEastAsia" w:hAnsiTheme="minorEastAsia"/>
          <w:kern w:val="0"/>
          <w:szCs w:val="21"/>
        </w:rPr>
        <w:t>（1）甲、乙双方均同意向（甲方所在地人民法院）提起诉讼。</w:t>
      </w:r>
    </w:p>
    <w:p w14:paraId="34E6F135">
      <w:pPr>
        <w:widowControl/>
        <w:autoSpaceDE w:val="0"/>
        <w:autoSpaceDN w:val="0"/>
        <w:snapToGrid w:val="0"/>
        <w:spacing w:line="360" w:lineRule="auto"/>
        <w:ind w:right="-110" w:firstLine="420" w:firstLineChars="200"/>
        <w:textAlignment w:val="bottom"/>
        <w:rPr>
          <w:rFonts w:hint="eastAsia" w:asciiTheme="minorEastAsia" w:hAnsiTheme="minorEastAsia"/>
          <w:kern w:val="0"/>
          <w:szCs w:val="21"/>
        </w:rPr>
      </w:pPr>
      <w:r>
        <w:rPr>
          <w:rFonts w:asciiTheme="minorEastAsia" w:hAnsiTheme="minorEastAsia"/>
          <w:kern w:val="0"/>
          <w:szCs w:val="21"/>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asciiTheme="minorEastAsia" w:hAnsiTheme="minorEastAsia"/>
          <w:kern w:val="0"/>
          <w:szCs w:val="21"/>
        </w:rPr>
        <w:t>仲裁委员会</w:t>
      </w:r>
      <w:r>
        <w:rPr>
          <w:rFonts w:asciiTheme="minorEastAsia" w:hAnsiTheme="minorEastAsia"/>
          <w:kern w:val="0"/>
          <w:szCs w:val="21"/>
        </w:rPr>
        <w:fldChar w:fldCharType="end"/>
      </w:r>
      <w:r>
        <w:rPr>
          <w:rFonts w:asciiTheme="minorEastAsia" w:hAnsiTheme="minorEastAsia"/>
          <w:kern w:val="0"/>
          <w:szCs w:val="21"/>
        </w:rPr>
        <w:t>）提起仲裁。</w:t>
      </w:r>
    </w:p>
    <w:p w14:paraId="1AC0534D">
      <w:pPr>
        <w:adjustRightInd w:val="0"/>
        <w:snapToGrid w:val="0"/>
        <w:spacing w:line="360" w:lineRule="auto"/>
        <w:ind w:firstLine="422" w:firstLineChars="200"/>
        <w:rPr>
          <w:rFonts w:hint="eastAsia" w:asciiTheme="minorEastAsia" w:hAnsiTheme="minorEastAsia"/>
          <w:b/>
          <w:szCs w:val="21"/>
        </w:rPr>
      </w:pPr>
      <w:bookmarkStart w:id="8" w:name="_Toc19515395"/>
      <w:r>
        <w:rPr>
          <w:rFonts w:asciiTheme="minorEastAsia" w:hAnsiTheme="minorEastAsia"/>
          <w:b/>
          <w:szCs w:val="21"/>
        </w:rPr>
        <w:t>十</w:t>
      </w:r>
      <w:r>
        <w:rPr>
          <w:rFonts w:hint="eastAsia" w:asciiTheme="minorEastAsia" w:hAnsiTheme="minorEastAsia"/>
          <w:b/>
          <w:szCs w:val="21"/>
          <w:lang w:val="en-US" w:eastAsia="zh-CN"/>
        </w:rPr>
        <w:t>四</w:t>
      </w:r>
      <w:r>
        <w:rPr>
          <w:rFonts w:asciiTheme="minorEastAsia" w:hAnsiTheme="minorEastAsia"/>
          <w:b/>
          <w:szCs w:val="21"/>
        </w:rPr>
        <w:t>、合同生效及其它</w:t>
      </w:r>
      <w:bookmarkEnd w:id="8"/>
    </w:p>
    <w:p w14:paraId="5F486AAA">
      <w:pPr>
        <w:adjustRightInd w:val="0"/>
        <w:snapToGrid w:val="0"/>
        <w:spacing w:line="360" w:lineRule="auto"/>
        <w:ind w:firstLine="420" w:firstLineChars="200"/>
        <w:rPr>
          <w:rFonts w:hint="eastAsia" w:asciiTheme="minorEastAsia" w:hAnsiTheme="minorEastAsia"/>
          <w:b/>
          <w:szCs w:val="21"/>
        </w:rPr>
      </w:pPr>
      <w:r>
        <w:rPr>
          <w:rFonts w:asciiTheme="minorEastAsia" w:hAnsiTheme="minorEastAsia"/>
          <w:kern w:val="0"/>
          <w:szCs w:val="21"/>
        </w:rPr>
        <w:t>1、合同未尽事宜、由甲、乙双方协商，作为合同补充，与原合同具有同等法律效力。</w:t>
      </w:r>
    </w:p>
    <w:p w14:paraId="7830F6B6">
      <w:pPr>
        <w:adjustRightInd w:val="0"/>
        <w:snapToGrid w:val="0"/>
        <w:spacing w:line="360" w:lineRule="auto"/>
        <w:ind w:firstLine="420" w:firstLineChars="200"/>
        <w:rPr>
          <w:rFonts w:hint="eastAsia" w:asciiTheme="minorEastAsia" w:hAnsiTheme="minorEastAsia"/>
          <w:b/>
          <w:szCs w:val="21"/>
        </w:rPr>
      </w:pPr>
      <w:r>
        <w:rPr>
          <w:rFonts w:asciiTheme="minorEastAsia" w:hAnsiTheme="minorEastAsia"/>
          <w:kern w:val="0"/>
          <w:szCs w:val="21"/>
        </w:rPr>
        <w:t>2、 本合同一式</w:t>
      </w:r>
      <w:r>
        <w:rPr>
          <w:rFonts w:asciiTheme="minorEastAsia" w:hAnsiTheme="minorEastAsia"/>
          <w:kern w:val="0"/>
          <w:szCs w:val="21"/>
          <w:u w:val="single"/>
        </w:rPr>
        <w:t xml:space="preserve">  </w:t>
      </w:r>
      <w:r>
        <w:rPr>
          <w:rFonts w:asciiTheme="minorEastAsia" w:hAnsiTheme="minorEastAsia"/>
          <w:kern w:val="0"/>
          <w:szCs w:val="21"/>
        </w:rPr>
        <w:t>份，甲方、乙方双方分别执</w:t>
      </w:r>
      <w:r>
        <w:rPr>
          <w:rFonts w:asciiTheme="minorEastAsia" w:hAnsiTheme="minorEastAsia"/>
          <w:kern w:val="0"/>
          <w:szCs w:val="21"/>
          <w:u w:val="single"/>
        </w:rPr>
        <w:t xml:space="preserve">  </w:t>
      </w:r>
      <w:r>
        <w:rPr>
          <w:rFonts w:asciiTheme="minorEastAsia" w:hAnsiTheme="minorEastAsia"/>
          <w:kern w:val="0"/>
          <w:szCs w:val="21"/>
        </w:rPr>
        <w:t>份，</w:t>
      </w:r>
      <w:r>
        <w:rPr>
          <w:rFonts w:asciiTheme="minorEastAsia" w:hAnsiTheme="minorEastAsia"/>
          <w:kern w:val="0"/>
          <w:szCs w:val="21"/>
          <w:u w:val="single"/>
        </w:rPr>
        <w:t xml:space="preserve">   </w:t>
      </w:r>
      <w:r>
        <w:rPr>
          <w:rFonts w:asciiTheme="minorEastAsia" w:hAnsiTheme="minorEastAsia"/>
          <w:kern w:val="0"/>
          <w:szCs w:val="21"/>
        </w:rPr>
        <w:t>备案</w:t>
      </w:r>
      <w:r>
        <w:rPr>
          <w:rFonts w:asciiTheme="minorEastAsia" w:hAnsiTheme="minorEastAsia"/>
          <w:kern w:val="0"/>
          <w:szCs w:val="21"/>
          <w:u w:val="single"/>
        </w:rPr>
        <w:t xml:space="preserve">  </w:t>
      </w:r>
      <w:r>
        <w:rPr>
          <w:rFonts w:asciiTheme="minorEastAsia" w:hAnsiTheme="minorEastAsia"/>
          <w:kern w:val="0"/>
          <w:szCs w:val="21"/>
        </w:rPr>
        <w:t>份。</w:t>
      </w:r>
    </w:p>
    <w:p w14:paraId="0975A718">
      <w:pPr>
        <w:adjustRightInd w:val="0"/>
        <w:snapToGrid w:val="0"/>
        <w:spacing w:line="360" w:lineRule="auto"/>
        <w:ind w:firstLine="420" w:firstLineChars="200"/>
        <w:rPr>
          <w:rFonts w:hint="eastAsia" w:asciiTheme="minorEastAsia" w:hAnsiTheme="minorEastAsia"/>
          <w:b/>
          <w:szCs w:val="21"/>
        </w:rPr>
      </w:pPr>
      <w:r>
        <w:rPr>
          <w:rFonts w:asciiTheme="minorEastAsia" w:hAnsiTheme="minorEastAsia"/>
          <w:kern w:val="0"/>
          <w:szCs w:val="21"/>
        </w:rPr>
        <w:t>3、合同经甲乙双方盖章、签字后生效，合同签订地点为</w:t>
      </w:r>
      <w:r>
        <w:rPr>
          <w:rFonts w:asciiTheme="minorEastAsia" w:hAnsiTheme="minorEastAsia"/>
          <w:kern w:val="0"/>
          <w:szCs w:val="21"/>
          <w:u w:val="single"/>
        </w:rPr>
        <w:t xml:space="preserve">   </w:t>
      </w:r>
      <w:r>
        <w:rPr>
          <w:rFonts w:asciiTheme="minorEastAsia" w:hAnsiTheme="minorEastAsia"/>
          <w:kern w:val="0"/>
          <w:szCs w:val="21"/>
        </w:rPr>
        <w:t>。</w:t>
      </w:r>
    </w:p>
    <w:p w14:paraId="40DE6936">
      <w:pPr>
        <w:adjustRightInd w:val="0"/>
        <w:snapToGrid w:val="0"/>
        <w:spacing w:line="360" w:lineRule="auto"/>
        <w:ind w:firstLine="420" w:firstLineChars="200"/>
        <w:rPr>
          <w:rFonts w:hint="eastAsia" w:asciiTheme="minorEastAsia" w:hAnsiTheme="minorEastAsia"/>
          <w:kern w:val="0"/>
          <w:szCs w:val="21"/>
        </w:rPr>
      </w:pPr>
      <w:r>
        <w:rPr>
          <w:rFonts w:asciiTheme="minorEastAsia" w:hAnsiTheme="minorEastAsia"/>
          <w:kern w:val="0"/>
          <w:szCs w:val="21"/>
        </w:rPr>
        <w:t xml:space="preserve">4、生效时间： </w:t>
      </w:r>
      <w:r>
        <w:rPr>
          <w:rFonts w:asciiTheme="minorEastAsia" w:hAnsiTheme="minorEastAsia"/>
          <w:kern w:val="0"/>
          <w:szCs w:val="21"/>
          <w:u w:val="single"/>
        </w:rPr>
        <w:t xml:space="preserve"> </w:t>
      </w:r>
      <w:r>
        <w:rPr>
          <w:rFonts w:hint="eastAsia" w:asciiTheme="minorEastAsia" w:hAnsiTheme="minorEastAsia"/>
          <w:kern w:val="0"/>
          <w:szCs w:val="21"/>
          <w:u w:val="single"/>
        </w:rPr>
        <w:t xml:space="preserve"> </w:t>
      </w:r>
      <w:r>
        <w:rPr>
          <w:rFonts w:asciiTheme="minorEastAsia" w:hAnsiTheme="minorEastAsia"/>
          <w:kern w:val="0"/>
          <w:szCs w:val="21"/>
          <w:u w:val="single"/>
        </w:rPr>
        <w:t xml:space="preserve"> </w:t>
      </w:r>
      <w:r>
        <w:rPr>
          <w:rFonts w:asciiTheme="minorEastAsia" w:hAnsiTheme="minorEastAsia"/>
          <w:kern w:val="0"/>
          <w:szCs w:val="21"/>
        </w:rPr>
        <w:t xml:space="preserve">年 </w:t>
      </w:r>
      <w:r>
        <w:rPr>
          <w:rFonts w:asciiTheme="minorEastAsia" w:hAnsiTheme="minorEastAsia"/>
          <w:kern w:val="0"/>
          <w:szCs w:val="21"/>
          <w:u w:val="single"/>
        </w:rPr>
        <w:t xml:space="preserve"> </w:t>
      </w:r>
      <w:r>
        <w:rPr>
          <w:rFonts w:hint="eastAsia" w:asciiTheme="minorEastAsia" w:hAnsiTheme="minorEastAsia"/>
          <w:kern w:val="0"/>
          <w:szCs w:val="21"/>
          <w:u w:val="single"/>
        </w:rPr>
        <w:t xml:space="preserve">  </w:t>
      </w:r>
      <w:r>
        <w:rPr>
          <w:rFonts w:asciiTheme="minorEastAsia" w:hAnsiTheme="minorEastAsia"/>
          <w:kern w:val="0"/>
          <w:szCs w:val="21"/>
        </w:rPr>
        <w:t>月</w:t>
      </w:r>
      <w:r>
        <w:rPr>
          <w:rFonts w:asciiTheme="minorEastAsia" w:hAnsiTheme="minorEastAsia"/>
          <w:kern w:val="0"/>
          <w:szCs w:val="21"/>
          <w:u w:val="single"/>
        </w:rPr>
        <w:t xml:space="preserve"> </w:t>
      </w:r>
      <w:r>
        <w:rPr>
          <w:rFonts w:hint="eastAsia" w:asciiTheme="minorEastAsia" w:hAnsiTheme="minorEastAsia"/>
          <w:kern w:val="0"/>
          <w:szCs w:val="21"/>
          <w:u w:val="single"/>
        </w:rPr>
        <w:t xml:space="preserve">  </w:t>
      </w:r>
      <w:r>
        <w:rPr>
          <w:rFonts w:asciiTheme="minorEastAsia" w:hAnsiTheme="minorEastAsia"/>
          <w:kern w:val="0"/>
          <w:szCs w:val="21"/>
          <w:u w:val="single"/>
        </w:rPr>
        <w:t xml:space="preserve"> </w:t>
      </w:r>
      <w:r>
        <w:rPr>
          <w:rFonts w:asciiTheme="minorEastAsia" w:hAnsiTheme="minorEastAsia"/>
          <w:kern w:val="0"/>
          <w:szCs w:val="21"/>
        </w:rPr>
        <w:t>日</w:t>
      </w:r>
    </w:p>
    <w:tbl>
      <w:tblPr>
        <w:tblStyle w:val="3"/>
        <w:tblW w:w="0" w:type="auto"/>
        <w:jc w:val="center"/>
        <w:tblLayout w:type="fixed"/>
        <w:tblCellMar>
          <w:top w:w="0" w:type="dxa"/>
          <w:left w:w="108" w:type="dxa"/>
          <w:bottom w:w="0" w:type="dxa"/>
          <w:right w:w="108" w:type="dxa"/>
        </w:tblCellMar>
      </w:tblPr>
      <w:tblGrid>
        <w:gridCol w:w="4643"/>
        <w:gridCol w:w="4643"/>
      </w:tblGrid>
      <w:tr w14:paraId="1F8FC643">
        <w:tblPrEx>
          <w:tblCellMar>
            <w:top w:w="0" w:type="dxa"/>
            <w:left w:w="108" w:type="dxa"/>
            <w:bottom w:w="0" w:type="dxa"/>
            <w:right w:w="108" w:type="dxa"/>
          </w:tblCellMar>
        </w:tblPrEx>
        <w:trPr>
          <w:jc w:val="center"/>
        </w:trPr>
        <w:tc>
          <w:tcPr>
            <w:tcW w:w="4643" w:type="dxa"/>
          </w:tcPr>
          <w:p w14:paraId="2F7718B5">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甲方名称</w:t>
            </w:r>
            <w:r>
              <w:rPr>
                <w:rFonts w:asciiTheme="minorEastAsia" w:hAnsiTheme="minorEastAsia"/>
                <w:spacing w:val="-20"/>
                <w:kern w:val="0"/>
                <w:szCs w:val="21"/>
              </w:rPr>
              <w:t>（盖章）</w:t>
            </w:r>
            <w:r>
              <w:rPr>
                <w:rFonts w:hint="eastAsia" w:asciiTheme="minorEastAsia" w:hAnsiTheme="minorEastAsia"/>
                <w:kern w:val="0"/>
                <w:szCs w:val="21"/>
              </w:rPr>
              <w:t>：</w:t>
            </w:r>
          </w:p>
          <w:p w14:paraId="06FB9FC4">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地址：</w:t>
            </w:r>
          </w:p>
          <w:p w14:paraId="7E2CC4AB">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代表人（签字）：</w:t>
            </w:r>
          </w:p>
          <w:p w14:paraId="1681C33E">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电话：</w:t>
            </w:r>
          </w:p>
          <w:p w14:paraId="0B2BE364">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开户银行：</w:t>
            </w:r>
          </w:p>
          <w:p w14:paraId="2DBF19D8">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帐号：</w:t>
            </w:r>
          </w:p>
        </w:tc>
        <w:tc>
          <w:tcPr>
            <w:tcW w:w="4643" w:type="dxa"/>
          </w:tcPr>
          <w:p w14:paraId="174F34E2">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乙方名称</w:t>
            </w:r>
            <w:r>
              <w:rPr>
                <w:rFonts w:asciiTheme="minorEastAsia" w:hAnsiTheme="minorEastAsia"/>
                <w:spacing w:val="-20"/>
                <w:kern w:val="0"/>
                <w:szCs w:val="21"/>
              </w:rPr>
              <w:t>（盖章）</w:t>
            </w:r>
            <w:r>
              <w:rPr>
                <w:rFonts w:asciiTheme="minorEastAsia" w:hAnsiTheme="minorEastAsia"/>
                <w:kern w:val="0"/>
                <w:szCs w:val="21"/>
              </w:rPr>
              <w:t>:</w:t>
            </w:r>
          </w:p>
          <w:p w14:paraId="54AC8B88">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地址：</w:t>
            </w:r>
          </w:p>
          <w:p w14:paraId="7A71BA8B">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代表人（签字）：</w:t>
            </w:r>
          </w:p>
          <w:p w14:paraId="780E540A">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电话：</w:t>
            </w:r>
          </w:p>
          <w:p w14:paraId="58BAF30D">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开户银行：</w:t>
            </w:r>
          </w:p>
          <w:p w14:paraId="170B1776">
            <w:pPr>
              <w:widowControl/>
              <w:autoSpaceDE w:val="0"/>
              <w:autoSpaceDN w:val="0"/>
              <w:snapToGrid w:val="0"/>
              <w:spacing w:line="360" w:lineRule="auto"/>
              <w:ind w:right="-154"/>
              <w:textAlignment w:val="bottom"/>
              <w:rPr>
                <w:rFonts w:hint="eastAsia" w:asciiTheme="minorEastAsia" w:hAnsiTheme="minorEastAsia"/>
                <w:kern w:val="0"/>
                <w:szCs w:val="21"/>
              </w:rPr>
            </w:pPr>
            <w:r>
              <w:rPr>
                <w:rFonts w:asciiTheme="minorEastAsia" w:hAnsiTheme="minorEastAsia"/>
                <w:kern w:val="0"/>
                <w:szCs w:val="21"/>
              </w:rPr>
              <w:t>帐号：</w:t>
            </w:r>
          </w:p>
        </w:tc>
      </w:tr>
    </w:tbl>
    <w:p w14:paraId="607D38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CE405"/>
    <w:multiLevelType w:val="singleLevel"/>
    <w:tmpl w:val="2C5CE40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E02"/>
    <w:rsid w:val="00586E02"/>
    <w:rsid w:val="11967974"/>
    <w:rsid w:val="60833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2026-08-10T07:11:00Z</dcterms:created>
  <dc:creator>YY</dc:creator>
  <cp:lastModifiedBy>YY</cp:lastModifiedBy>
  <dcterms:modified xsi:type="dcterms:W3CDTF">2026-08-10T07:13:06Z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105C6E0CCDD54E16A326FB7A298F9547_11</vt:lpwstr>
  </property>
  <property fmtid="{D5CDD505-2E9C-101B-9397-08002B2CF9AE}" pid="4" name="KSOTemplateDocerSaveRecord">
    <vt:lpwstr>eyJoZGlkIjoiM2ZkYjQzNTI4OWMzMmU5NWFlMmU0MzVmNTg3MjlmMmMiLCJ1c2VySWQiOiIxNzUzNTMzNTQ0In0=</vt:lpwstr>
  </property>
</Properties>
</file>