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版本号：TZZB-HZ-2026196C20260813002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汉中职院“一站式”学生社区办事大厅建设项目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TZZB-HZ-2026196C</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汉中职院“一站式”学生社区办事大厅建设项目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TZZB-HZ-2026196C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汉中职院“一站式”学生社区办事大厅建设项目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“一站式”学生社区办事大厅建设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采购包1（“一站式”学生社区办事大厅建设）：属于专门面向中小企业采购。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w:t>
      </w:r>
    </w:p>
    <w:p>
      <w:pPr>
        <w:pStyle w:val="null3"/>
      </w:pPr>
      <w:r>
        <w:rPr>
          <w:rFonts w:ascii="仿宋_GB2312" w:hAnsi="仿宋_GB2312" w:cs="仿宋_GB2312" w:eastAsia="仿宋_GB2312"/>
        </w:rPr>
        <w:t>2、授权代表身份证明：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p>
      <w:pPr>
        <w:pStyle w:val="null3"/>
      </w:pPr>
      <w:r>
        <w:rPr>
          <w:rFonts w:ascii="仿宋_GB2312" w:hAnsi="仿宋_GB2312" w:cs="仿宋_GB2312" w:eastAsia="仿宋_GB2312"/>
        </w:rPr>
        <w:t>3、汉中市政府采购供应商资格承诺函：供应商须提供《汉中市政府采购供应商资格承诺函》</w:t>
      </w:r>
    </w:p>
    <w:p>
      <w:pPr>
        <w:pStyle w:val="null3"/>
      </w:pPr>
      <w:r>
        <w:rPr>
          <w:rFonts w:ascii="仿宋_GB2312" w:hAnsi="仿宋_GB2312" w:cs="仿宋_GB2312" w:eastAsia="仿宋_GB2312"/>
        </w:rPr>
        <w:t>4、企业资质要求：①供应商须具备建筑工程施工总承包三级及以上资质，并具 有建设行政主管部门核发的有效安全生产许可证； ②拟派项 目经理具有建筑工程专业二级及以上注册建造师资格，具有 合格有效的安全生产考核合格证（B证），且无在建项目(出 具无在建承诺书，格式自拟）。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0916-2211759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采购包1：1,297,530.59元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蹲便器、小便器、监控摄像头。</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LED防潮灯、LED筒灯、LED室外壁灯、亚克力板圆形灯、LED灯带、亚克力板造型灯。</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商品砼、复合模板、成品木门、4厚SBS耐根穿刺防水卷材（复合铜胎基）、3厚自粘聚合物改性沥青防水卷材（聚酯胎）、 1.5厚JS聚合物复合防水涂料、PVC110落水管、2厚JS防水涂料、聚氯酯防水涂膜 2mm厚、75厚挤塑聚苯乙烯泡沫板、真石漆饰面、石膏板、6~10厚树脂板面层、浴厕隔断、阻氧型铝合金衬PE-RT管、PVC管、洗手盆、蹲便器、小便器、PC管、LED防潮灯、LED筒灯、LED室外壁灯、亚克力板圆形灯、LED灯带、吸顶应急照明灯、壁装应急照明灯、方向指示灯-单面、多信息复核标志灯、安全出口标志灯、亚克力板造型灯。</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说明：成交后签订合同前向采购人支付。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2、采购代理服务费的缴纳方式：在领取《成交通知书》时向采购代理机构一次性全额缴纳采购代理服务费。 3、采购代理服务费以转账形式缴纳至以下账户： 缴纳账户户名：同正项目管理有限公司汉中分公司 开户行：中国建设银行股份有限公司汉中北环路支行 账号：6105 0165 5200 0000 0101 汇款备注：项目名称</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1,297,530.59</w:t>
      </w:r>
    </w:p>
    <w:p>
      <w:pPr>
        <w:pStyle w:val="null3"/>
      </w:pPr>
      <w:r>
        <w:rPr>
          <w:rFonts w:ascii="仿宋_GB2312" w:hAnsi="仿宋_GB2312" w:cs="仿宋_GB2312" w:eastAsia="仿宋_GB2312"/>
        </w:rPr>
        <w:t>采购包最高限价（元）: 1,297,530.59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1,297,530.59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一、编制说明</w:t>
            </w:r>
          </w:p>
          <w:p>
            <w:pPr>
              <w:pStyle w:val="null3"/>
            </w:pPr>
            <w:r>
              <w:rPr>
                <w:rFonts w:ascii="仿宋_GB2312" w:hAnsi="仿宋_GB2312" w:cs="仿宋_GB2312" w:eastAsia="仿宋_GB2312"/>
                <w:sz w:val="21"/>
                <w:color w:val="000000"/>
              </w:rPr>
              <w:t xml:space="preserve">    （一）工程概况</w:t>
            </w:r>
          </w:p>
          <w:p>
            <w:pPr>
              <w:pStyle w:val="null3"/>
              <w:ind w:firstLine="640"/>
              <w:jc w:val="both"/>
            </w:pPr>
            <w:r>
              <w:rPr>
                <w:rFonts w:ascii="仿宋_GB2312" w:hAnsi="仿宋_GB2312" w:cs="仿宋_GB2312" w:eastAsia="仿宋_GB2312"/>
                <w:sz w:val="21"/>
              </w:rPr>
              <w:t>汉中职院“一站式”学生社区办事大厅建设项目，工程地址位于汉中市汉台区，建筑面积228.16m</w:t>
            </w:r>
            <w:r>
              <w:rPr>
                <w:rFonts w:ascii="仿宋_GB2312" w:hAnsi="仿宋_GB2312" w:cs="仿宋_GB2312" w:eastAsia="仿宋_GB2312"/>
                <w:sz w:val="21"/>
                <w:vertAlign w:val="superscript"/>
              </w:rPr>
              <w:t>2</w:t>
            </w:r>
            <w:r>
              <w:rPr>
                <w:rFonts w:ascii="仿宋_GB2312" w:hAnsi="仿宋_GB2312" w:cs="仿宋_GB2312" w:eastAsia="仿宋_GB2312"/>
                <w:sz w:val="21"/>
              </w:rPr>
              <w:t>,层高3.9m,钢框架结构，单层公共建筑，桩基础。</w:t>
            </w:r>
          </w:p>
          <w:p>
            <w:pPr>
              <w:pStyle w:val="null3"/>
              <w:ind w:firstLine="640"/>
              <w:jc w:val="both"/>
            </w:pPr>
            <w:r>
              <w:rPr>
                <w:rFonts w:ascii="仿宋_GB2312" w:hAnsi="仿宋_GB2312" w:cs="仿宋_GB2312" w:eastAsia="仿宋_GB2312"/>
                <w:sz w:val="21"/>
                <w:color w:val="000000"/>
              </w:rPr>
              <w:t>（二）审核依据</w:t>
            </w:r>
          </w:p>
          <w:p>
            <w:pPr>
              <w:pStyle w:val="null3"/>
              <w:ind w:firstLine="640"/>
              <w:jc w:val="left"/>
            </w:pPr>
            <w:r>
              <w:rPr>
                <w:rFonts w:ascii="仿宋_GB2312" w:hAnsi="仿宋_GB2312" w:cs="仿宋_GB2312" w:eastAsia="仿宋_GB2312"/>
                <w:sz w:val="21"/>
              </w:rPr>
              <w:t>1.汉中职院“一站式”学生社区办事大厅建设项目施工图纸；</w:t>
            </w:r>
          </w:p>
          <w:p>
            <w:pPr>
              <w:pStyle w:val="null3"/>
              <w:ind w:firstLine="640"/>
              <w:jc w:val="left"/>
            </w:pPr>
            <w:r>
              <w:rPr>
                <w:rFonts w:ascii="仿宋_GB2312" w:hAnsi="仿宋_GB2312" w:cs="仿宋_GB2312" w:eastAsia="仿宋_GB2312"/>
                <w:sz w:val="21"/>
              </w:rPr>
              <w:t>2.《陕西省建设工程工程量清单计价计算标准（2025）》《陕西省建设工程费用规则（2025）》；</w:t>
            </w:r>
          </w:p>
          <w:p>
            <w:pPr>
              <w:pStyle w:val="null3"/>
              <w:ind w:firstLine="640"/>
              <w:jc w:val="left"/>
            </w:pPr>
            <w:r>
              <w:rPr>
                <w:rFonts w:ascii="仿宋_GB2312" w:hAnsi="仿宋_GB2312" w:cs="仿宋_GB2312" w:eastAsia="仿宋_GB2312"/>
                <w:sz w:val="21"/>
              </w:rPr>
              <w:t>3.《陕西省房屋建筑与装饰、通用安装、市政、园林绿化工程消耗量定额（2025）》《陕西省房屋建筑与装饰、通用安装、市政、园林绿化工程基价表（2025）》《陕西省建设工程施工机械台班费用定额（2025）》《陕西省建设工程施工仪器仪表台班费用定额（2025）》及其他相关计价依据和文件；</w:t>
            </w:r>
          </w:p>
          <w:p>
            <w:pPr>
              <w:pStyle w:val="null3"/>
              <w:ind w:firstLine="640"/>
              <w:jc w:val="left"/>
            </w:pPr>
            <w:r>
              <w:rPr>
                <w:rFonts w:ascii="仿宋_GB2312" w:hAnsi="仿宋_GB2312" w:cs="仿宋_GB2312" w:eastAsia="仿宋_GB2312"/>
                <w:sz w:val="21"/>
              </w:rPr>
              <w:t>4.主要材料价参照《汉中建设工程造价信息》2026年第5期材料价并结合当前建筑材料市场价综合计入。</w:t>
            </w:r>
          </w:p>
          <w:p>
            <w:pPr>
              <w:pStyle w:val="null3"/>
              <w:ind w:firstLine="640"/>
              <w:jc w:val="left"/>
            </w:pPr>
            <w:r>
              <w:rPr>
                <w:rFonts w:ascii="仿宋_GB2312" w:hAnsi="仿宋_GB2312" w:cs="仿宋_GB2312" w:eastAsia="仿宋_GB2312"/>
                <w:sz w:val="21"/>
                <w:color w:val="000000"/>
              </w:rPr>
              <w:t>（三）</w:t>
            </w:r>
            <w:r>
              <w:rPr>
                <w:rFonts w:ascii="仿宋_GB2312" w:hAnsi="仿宋_GB2312" w:cs="仿宋_GB2312" w:eastAsia="仿宋_GB2312"/>
                <w:sz w:val="21"/>
                <w:color w:val="000000"/>
              </w:rPr>
              <w:t>有关问题说明</w:t>
            </w:r>
          </w:p>
          <w:p>
            <w:pPr>
              <w:pStyle w:val="null3"/>
              <w:ind w:firstLine="641"/>
              <w:jc w:val="left"/>
            </w:pPr>
            <w:r>
              <w:rPr>
                <w:rFonts w:ascii="仿宋_GB2312" w:hAnsi="仿宋_GB2312" w:cs="仿宋_GB2312" w:eastAsia="仿宋_GB2312"/>
                <w:sz w:val="21"/>
              </w:rPr>
              <w:t>1.弃土运距暂按5km计算；</w:t>
            </w:r>
          </w:p>
          <w:p>
            <w:pPr>
              <w:pStyle w:val="null3"/>
              <w:ind w:firstLine="640"/>
              <w:jc w:val="left"/>
            </w:pPr>
            <w:r>
              <w:rPr>
                <w:rFonts w:ascii="仿宋_GB2312" w:hAnsi="仿宋_GB2312" w:cs="仿宋_GB2312" w:eastAsia="仿宋_GB2312"/>
                <w:sz w:val="21"/>
              </w:rPr>
              <w:t>2.桩长暂按7.5米计算；</w:t>
            </w:r>
          </w:p>
          <w:p>
            <w:pPr>
              <w:pStyle w:val="null3"/>
              <w:ind w:firstLine="640"/>
              <w:jc w:val="left"/>
            </w:pPr>
            <w:r>
              <w:rPr>
                <w:rFonts w:ascii="仿宋_GB2312" w:hAnsi="仿宋_GB2312" w:cs="仿宋_GB2312" w:eastAsia="仿宋_GB2312"/>
                <w:sz w:val="21"/>
              </w:rPr>
              <w:t>3.屋面座凳暂按350元/米计算；</w:t>
            </w:r>
          </w:p>
          <w:p>
            <w:pPr>
              <w:pStyle w:val="null3"/>
              <w:ind w:firstLine="640"/>
              <w:jc w:val="left"/>
            </w:pPr>
            <w:r>
              <w:rPr>
                <w:rFonts w:ascii="仿宋_GB2312" w:hAnsi="仿宋_GB2312" w:cs="仿宋_GB2312" w:eastAsia="仿宋_GB2312"/>
                <w:sz w:val="21"/>
              </w:rPr>
              <w:t>4.石膏板隔墙暂按120元/m</w:t>
            </w:r>
            <w:r>
              <w:rPr>
                <w:rFonts w:ascii="仿宋_GB2312" w:hAnsi="仿宋_GB2312" w:cs="仿宋_GB2312" w:eastAsia="仿宋_GB2312"/>
                <w:sz w:val="21"/>
                <w:vertAlign w:val="superscript"/>
              </w:rPr>
              <w:t>2</w:t>
            </w:r>
            <w:r>
              <w:rPr>
                <w:rFonts w:ascii="仿宋_GB2312" w:hAnsi="仿宋_GB2312" w:cs="仿宋_GB2312" w:eastAsia="仿宋_GB2312"/>
                <w:sz w:val="21"/>
              </w:rPr>
              <w:t>计算；</w:t>
            </w:r>
          </w:p>
          <w:p>
            <w:pPr>
              <w:pStyle w:val="null3"/>
              <w:ind w:firstLine="640"/>
              <w:jc w:val="left"/>
            </w:pPr>
            <w:r>
              <w:rPr>
                <w:rFonts w:ascii="仿宋_GB2312" w:hAnsi="仿宋_GB2312" w:cs="仿宋_GB2312" w:eastAsia="仿宋_GB2312"/>
                <w:sz w:val="21"/>
              </w:rPr>
              <w:t>5.卫生间墙面防水高度暂按1.8m计算;</w:t>
            </w:r>
          </w:p>
          <w:p>
            <w:pPr>
              <w:pStyle w:val="null3"/>
              <w:ind w:firstLine="640"/>
              <w:jc w:val="left"/>
            </w:pPr>
            <w:r>
              <w:rPr>
                <w:rFonts w:ascii="仿宋_GB2312" w:hAnsi="仿宋_GB2312" w:cs="仿宋_GB2312" w:eastAsia="仿宋_GB2312"/>
                <w:sz w:val="21"/>
              </w:rPr>
              <w:t>6.玻璃栏杆暂按750元/米计算；</w:t>
            </w:r>
          </w:p>
          <w:p>
            <w:pPr>
              <w:pStyle w:val="null3"/>
              <w:ind w:firstLine="640"/>
              <w:jc w:val="left"/>
            </w:pPr>
            <w:r>
              <w:rPr>
                <w:rFonts w:ascii="仿宋_GB2312" w:hAnsi="仿宋_GB2312" w:cs="仿宋_GB2312" w:eastAsia="仿宋_GB2312"/>
                <w:sz w:val="21"/>
              </w:rPr>
              <w:t>7.成品玻璃雨蓬暂按600元/m</w:t>
            </w:r>
            <w:r>
              <w:rPr>
                <w:rFonts w:ascii="仿宋_GB2312" w:hAnsi="仿宋_GB2312" w:cs="仿宋_GB2312" w:eastAsia="仿宋_GB2312"/>
                <w:sz w:val="21"/>
                <w:vertAlign w:val="superscript"/>
              </w:rPr>
              <w:t>2</w:t>
            </w:r>
            <w:r>
              <w:rPr>
                <w:rFonts w:ascii="仿宋_GB2312" w:hAnsi="仿宋_GB2312" w:cs="仿宋_GB2312" w:eastAsia="仿宋_GB2312"/>
                <w:sz w:val="21"/>
              </w:rPr>
              <w:t>计算；</w:t>
            </w:r>
          </w:p>
          <w:p>
            <w:pPr>
              <w:pStyle w:val="null3"/>
            </w:pPr>
            <w:r>
              <w:rPr>
                <w:rFonts w:ascii="仿宋_GB2312" w:hAnsi="仿宋_GB2312" w:cs="仿宋_GB2312" w:eastAsia="仿宋_GB2312"/>
                <w:sz w:val="21"/>
              </w:rPr>
              <w:t xml:space="preserve">    8.室外钢梯要二次设计，暂未计算。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color w:val="000000"/>
                <w:shd w:fill="FFFFFF" w:val="clear"/>
              </w:rPr>
              <w:t>二、</w:t>
            </w:r>
            <w:r>
              <w:rPr>
                <w:rFonts w:ascii="仿宋_GB2312" w:hAnsi="仿宋_GB2312" w:cs="仿宋_GB2312" w:eastAsia="仿宋_GB2312"/>
                <w:sz w:val="21"/>
                <w:color w:val="000000"/>
                <w:shd w:fill="FFFFFF" w:val="clear"/>
              </w:rPr>
              <w:t>优先采购节能产品</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优先采购环境标志产品</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响应时，工程量清单内下列材料若为</w:t>
            </w:r>
            <w:r>
              <w:rPr>
                <w:rFonts w:ascii="仿宋_GB2312" w:hAnsi="仿宋_GB2312" w:cs="仿宋_GB2312" w:eastAsia="仿宋_GB2312"/>
                <w:sz w:val="21"/>
                <w:color w:val="000000"/>
                <w:shd w:fill="FFFFFF" w:val="clear"/>
              </w:rPr>
              <w:t>优先采购节能产品</w:t>
            </w:r>
            <w:r>
              <w:rPr>
                <w:rFonts w:ascii="仿宋_GB2312" w:hAnsi="仿宋_GB2312" w:cs="仿宋_GB2312" w:eastAsia="仿宋_GB2312"/>
                <w:sz w:val="21"/>
                <w:color w:val="000000"/>
                <w:shd w:fill="FFFFFF" w:val="clear"/>
              </w:rPr>
              <w:t>及</w:t>
            </w:r>
            <w:r>
              <w:rPr>
                <w:rFonts w:ascii="仿宋_GB2312" w:hAnsi="仿宋_GB2312" w:cs="仿宋_GB2312" w:eastAsia="仿宋_GB2312"/>
                <w:sz w:val="21"/>
                <w:color w:val="000000"/>
                <w:shd w:fill="FFFFFF" w:val="clear"/>
              </w:rPr>
              <w:t>优先采购环境标志产品</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供应商须按照磋商文件附件给出的承诺函格式进行填写）</w:t>
            </w:r>
          </w:p>
          <w:p>
            <w:pPr>
              <w:pStyle w:val="null3"/>
              <w:ind w:firstLine="420"/>
              <w:jc w:val="left"/>
            </w:pP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、优先采购节能产品：LED防潮灯、LED筒灯、LED室外壁灯、亚克力板圆形灯、LED灯带、亚克力板造型灯。</w:t>
            </w:r>
          </w:p>
          <w:p>
            <w:pPr>
              <w:pStyle w:val="null3"/>
              <w:ind w:firstLine="420"/>
              <w:jc w:val="left"/>
            </w:pPr>
            <w:r>
              <w:rPr>
                <w:rFonts w:ascii="仿宋_GB2312" w:hAnsi="仿宋_GB2312" w:cs="仿宋_GB2312" w:eastAsia="仿宋_GB2312"/>
                <w:sz w:val="21"/>
                <w:color w:val="000000"/>
                <w:shd w:fill="FFFFFF" w:val="clear"/>
              </w:rPr>
              <w:t>2</w:t>
            </w:r>
            <w:r>
              <w:rPr>
                <w:rFonts w:ascii="仿宋_GB2312" w:hAnsi="仿宋_GB2312" w:cs="仿宋_GB2312" w:eastAsia="仿宋_GB2312"/>
                <w:sz w:val="21"/>
                <w:color w:val="000000"/>
                <w:shd w:fill="FFFFFF" w:val="clear"/>
              </w:rPr>
              <w:t>、优先采购环境标志产品：商品砼、复合模板、成品木门、4厚SBS耐根穿刺防水卷材（复合铜胎基）、3厚自粘聚合物改性沥青防水卷材（聚酯胎）、 1.5厚JS聚合物复合防水涂料、PVC110落水管、2厚JS防水涂料、聚氯酯防水涂膜 2mm厚、75厚挤塑聚苯乙烯泡沫板、真石漆饰面、石膏板、6~10厚树脂板面层、浴厕隔断、阻氧型铝合金衬PE-RT管、PVC管、洗手盆、蹲便器、小便器、PC管、LED防潮灯、LED筒灯、LED室外壁灯、亚克力板圆形灯、LED灯带、吸顶应急照明灯、壁装应急照明灯、方向指示灯-单面、多信息复核标志灯、安全出口标志灯、亚克力板造型灯。</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color w:val="000000"/>
                <w:shd w:fill="FFFFFF" w:val="clear"/>
              </w:rPr>
              <w:t>三</w:t>
            </w:r>
            <w:r>
              <w:rPr>
                <w:rFonts w:ascii="仿宋_GB2312" w:hAnsi="仿宋_GB2312" w:cs="仿宋_GB2312" w:eastAsia="仿宋_GB2312"/>
                <w:sz w:val="21"/>
                <w:color w:val="000000"/>
                <w:shd w:fill="FFFFFF" w:val="clear"/>
              </w:rPr>
              <w:t>、实质性要求，不得负偏离（</w:t>
            </w:r>
            <w:r>
              <w:rPr>
                <w:rFonts w:ascii="仿宋_GB2312" w:hAnsi="仿宋_GB2312" w:cs="仿宋_GB2312" w:eastAsia="仿宋_GB2312"/>
                <w:sz w:val="21"/>
                <w:color w:val="000000"/>
                <w:shd w:fill="FFFFFF" w:val="clear"/>
              </w:rPr>
              <w:t>工程量清单内下列材料为强制采购节能产品，供应商响应时须按照磋商文件附件给出的承诺函格式进行填写</w:t>
            </w:r>
            <w:r>
              <w:rPr>
                <w:rFonts w:ascii="仿宋_GB2312" w:hAnsi="仿宋_GB2312" w:cs="仿宋_GB2312" w:eastAsia="仿宋_GB2312"/>
                <w:sz w:val="21"/>
                <w:color w:val="000000"/>
                <w:shd w:fill="FFFFFF" w:val="clear"/>
              </w:rPr>
              <w:t>，未提供承诺函</w:t>
            </w:r>
            <w:r>
              <w:rPr>
                <w:rFonts w:ascii="仿宋_GB2312" w:hAnsi="仿宋_GB2312" w:cs="仿宋_GB2312" w:eastAsia="仿宋_GB2312"/>
                <w:sz w:val="21"/>
                <w:color w:val="000000"/>
                <w:shd w:fill="FFFFFF" w:val="clear"/>
              </w:rPr>
              <w:t>或漏项</w:t>
            </w:r>
            <w:r>
              <w:rPr>
                <w:rFonts w:ascii="仿宋_GB2312" w:hAnsi="仿宋_GB2312" w:cs="仿宋_GB2312" w:eastAsia="仿宋_GB2312"/>
                <w:sz w:val="21"/>
                <w:color w:val="000000"/>
                <w:shd w:fill="FFFFFF" w:val="clear"/>
              </w:rPr>
              <w:t>按无效标处理）</w:t>
            </w:r>
          </w:p>
          <w:p>
            <w:pPr>
              <w:pStyle w:val="null3"/>
              <w:jc w:val="left"/>
            </w:pPr>
            <w:r>
              <w:rPr>
                <w:rFonts w:ascii="仿宋_GB2312" w:hAnsi="仿宋_GB2312" w:cs="仿宋_GB2312" w:eastAsia="仿宋_GB2312"/>
                <w:sz w:val="21"/>
                <w:color w:val="000000"/>
                <w:shd w:fill="FFFFFF" w:val="clear"/>
              </w:rPr>
              <w:t xml:space="preserve">  1、强制采购节能产品：蹲便器、小便器、监控摄像头。</w:t>
            </w:r>
          </w:p>
          <w:p>
            <w:pPr>
              <w:pStyle w:val="null3"/>
              <w:jc w:val="left"/>
            </w:pPr>
            <w:r>
              <w:rPr>
                <w:rFonts w:ascii="仿宋_GB2312" w:hAnsi="仿宋_GB2312" w:cs="仿宋_GB2312" w:eastAsia="仿宋_GB2312"/>
                <w:sz w:val="21"/>
                <w:color w:val="000000"/>
                <w:shd w:fill="FFFFFF" w:val="clear"/>
              </w:rPr>
              <w:t xml:space="preserve"> </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shd w:fill="FFFFFF" w:val="clear"/>
              </w:rPr>
              <w:t>四</w:t>
            </w:r>
            <w:r>
              <w:rPr>
                <w:rFonts w:ascii="仿宋_GB2312" w:hAnsi="仿宋_GB2312" w:cs="仿宋_GB2312" w:eastAsia="仿宋_GB2312"/>
                <w:sz w:val="21"/>
                <w:color w:val="000000"/>
                <w:shd w:fill="FFFFFF" w:val="clear"/>
              </w:rPr>
              <w:t>、商务要求（实质性要求，不得负偏离）</w:t>
            </w:r>
          </w:p>
          <w:p>
            <w:pPr>
              <w:pStyle w:val="null3"/>
              <w:ind w:firstLine="480"/>
              <w:jc w:val="both"/>
            </w:pPr>
            <w:r>
              <w:rPr>
                <w:rFonts w:ascii="仿宋_GB2312" w:hAnsi="仿宋_GB2312" w:cs="仿宋_GB2312" w:eastAsia="仿宋_GB2312"/>
                <w:sz w:val="21"/>
                <w:color w:val="000000"/>
                <w:shd w:fill="FFFFFF" w:val="clear"/>
              </w:rPr>
              <w:t>1、工期：60天。</w:t>
            </w:r>
          </w:p>
          <w:p>
            <w:pPr>
              <w:pStyle w:val="null3"/>
              <w:ind w:firstLine="480"/>
              <w:jc w:val="both"/>
            </w:pPr>
            <w:r>
              <w:rPr>
                <w:rFonts w:ascii="仿宋_GB2312" w:hAnsi="仿宋_GB2312" w:cs="仿宋_GB2312" w:eastAsia="仿宋_GB2312"/>
                <w:sz w:val="21"/>
                <w:color w:val="000000"/>
                <w:shd w:fill="FFFFFF" w:val="clear"/>
              </w:rPr>
              <w:t>2、合同履约地点：采购人指定地点。</w:t>
            </w:r>
          </w:p>
          <w:p>
            <w:pPr>
              <w:pStyle w:val="null3"/>
              <w:ind w:firstLine="480"/>
              <w:jc w:val="both"/>
            </w:pPr>
            <w:r>
              <w:rPr>
                <w:rFonts w:ascii="仿宋_GB2312" w:hAnsi="仿宋_GB2312" w:cs="仿宋_GB2312" w:eastAsia="仿宋_GB2312"/>
                <w:sz w:val="21"/>
                <w:color w:val="000000"/>
                <w:shd w:fill="FFFFFF" w:val="clear"/>
              </w:rPr>
              <w:t>3、支付约定：合同签订生效后，由乙方全额垫资实施本项目，甲方不支付预付款及任何中间进度款。项目全部竣工，并经甲方及相关部门最终验收合格，甲方在收到乙方开具的等额合法有效发票及完整请款资料后（若验收不合格或乙方未按时提交完整请款资料，付款期限顺延，相关责任由乙方承担。），达到付款条件起20个工作日内，支付合同总金额的100.0%。</w:t>
            </w:r>
          </w:p>
          <w:p>
            <w:pPr>
              <w:pStyle w:val="null3"/>
              <w:ind w:firstLine="480"/>
              <w:jc w:val="both"/>
            </w:pPr>
            <w:r>
              <w:rPr>
                <w:rFonts w:ascii="仿宋_GB2312" w:hAnsi="仿宋_GB2312" w:cs="仿宋_GB2312" w:eastAsia="仿宋_GB2312"/>
                <w:sz w:val="21"/>
                <w:color w:val="000000"/>
                <w:shd w:fill="FFFFFF" w:val="clear"/>
              </w:rPr>
              <w:t>4、验收交付标准和方法：符合国家现行有关施工质量验收规范“合格”要求。</w:t>
            </w:r>
          </w:p>
          <w:p>
            <w:pPr>
              <w:pStyle w:val="null3"/>
            </w:pPr>
            <w:r>
              <w:rPr>
                <w:rFonts w:ascii="仿宋_GB2312" w:hAnsi="仿宋_GB2312" w:cs="仿宋_GB2312" w:eastAsia="仿宋_GB2312"/>
                <w:sz w:val="21"/>
                <w:color w:val="000000"/>
                <w:shd w:fill="FFFFFF" w:val="clear"/>
              </w:rPr>
              <w:t xml:space="preserve">   5、质量保修范围和保修期：质量保修范围：工程量清单全部内容；保修期：工程验收合格后两年。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签字盖章扫描后的PDF版本响应文件）。纸质响应文件均须A4纸打印，分别各自装订成册。线下递交响应文件地点：汉中市汉台区西一环路蓝天御苑小区商铺二层门面房南侧。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供应商需在项目电子化交易系统中提供《汉中市政府采购供应商资格承诺函》并进行电子签章。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①供应商须具备建筑工程施工总承包三级及以上资质，并具 有建设行政主管部门核发的有效安全生产许可证； ②拟派项 目经理具有建筑工程专业二级及以上注册建造师资格，具有 合格有效的安全生产考核合格证（B证），且无在建项目(出 具无在建承诺书，格式自拟）。</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已标价工程量清单 商务要求偏离表.docx 中小企业声明函 强制优先采购产品承诺函 客观响应.docx 响应文件封面 供应商应提交的相关资格证明材料.docx 残疾人福利性单位声明函 报价函 标的清单 响应函 主观响应.docx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符合竞争性磋商文件内要求及给出的商务要求偏离表格式填写要求。</w:t>
            </w:r>
          </w:p>
        </w:tc>
        <w:tc>
          <w:tcPr>
            <w:tcW w:type="dxa" w:w="1661"/>
          </w:tcPr>
          <w:p>
            <w:pPr>
              <w:pStyle w:val="null3"/>
            </w:pPr>
            <w:r>
              <w:rPr>
                <w:rFonts w:ascii="仿宋_GB2312" w:hAnsi="仿宋_GB2312" w:cs="仿宋_GB2312" w:eastAsia="仿宋_GB2312"/>
              </w:rPr>
              <w:t>商务要求偏离表.docx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强制采购节能产品</w:t>
            </w:r>
          </w:p>
        </w:tc>
        <w:tc>
          <w:tcPr>
            <w:tcW w:type="dxa" w:w="3322"/>
          </w:tcPr>
          <w:p>
            <w:pPr>
              <w:pStyle w:val="null3"/>
            </w:pPr>
            <w:r>
              <w:rPr>
                <w:rFonts w:ascii="仿宋_GB2312" w:hAnsi="仿宋_GB2312" w:cs="仿宋_GB2312" w:eastAsia="仿宋_GB2312"/>
              </w:rPr>
              <w:t>按竞争性磋商文件附件给出的承诺函格式进行填写。未承诺或填写漏项按无效响应文件处理。</w:t>
            </w:r>
          </w:p>
        </w:tc>
        <w:tc>
          <w:tcPr>
            <w:tcW w:type="dxa" w:w="1661"/>
          </w:tcPr>
          <w:p>
            <w:pPr>
              <w:pStyle w:val="null3"/>
            </w:pPr>
            <w:r>
              <w:rPr>
                <w:rFonts w:ascii="仿宋_GB2312" w:hAnsi="仿宋_GB2312" w:cs="仿宋_GB2312" w:eastAsia="仿宋_GB2312"/>
              </w:rPr>
              <w:t>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一、评审内容：针对本项目施工内容制定施工方案，包括①项目整体思路；②项目重点难点；③施工实施的流程；④管理规章制度方案。 二、赋分标准： 1.完整性：对上述各项内容均有描述，得4分；每缺1项扣1分，扣完为止。此项不提供不得分。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主观响应.docx</w:t>
            </w:r>
          </w:p>
        </w:tc>
      </w:tr>
      <w:tr>
        <w:tc>
          <w:tcPr>
            <w:tcW w:type="dxa" w:w="831"/>
            <w:vMerge/>
          </w:tcPr>
          <w:p/>
        </w:tc>
        <w:tc>
          <w:tcPr>
            <w:tcW w:type="dxa" w:w="1661"/>
          </w:tcPr>
          <w:p>
            <w:pPr>
              <w:pStyle w:val="null3"/>
            </w:pPr>
            <w:r>
              <w:rPr>
                <w:rFonts w:ascii="仿宋_GB2312" w:hAnsi="仿宋_GB2312" w:cs="仿宋_GB2312" w:eastAsia="仿宋_GB2312"/>
              </w:rPr>
              <w:t>安全施工、文明施工管理制度及措施</w:t>
            </w:r>
          </w:p>
        </w:tc>
        <w:tc>
          <w:tcPr>
            <w:tcW w:type="dxa" w:w="2492"/>
          </w:tcPr>
          <w:p>
            <w:pPr>
              <w:pStyle w:val="null3"/>
            </w:pPr>
            <w:r>
              <w:rPr>
                <w:rFonts w:ascii="仿宋_GB2312" w:hAnsi="仿宋_GB2312" w:cs="仿宋_GB2312" w:eastAsia="仿宋_GB2312"/>
              </w:rPr>
              <w:t>一、评审内容：针对本项目制定安全施工、文明施工管理制度及措施，包括①安全施工、文明施工管理制度；②安全施工、文明施工管理措施。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主观响应.docx</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一、评审内容：针对本项目制定工期的技术组织措施，包括①工期的技术组织措施；②施工工期进度安排。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主观响应.docx</w:t>
            </w:r>
          </w:p>
        </w:tc>
      </w:tr>
      <w:tr>
        <w:tc>
          <w:tcPr>
            <w:tcW w:type="dxa" w:w="831"/>
            <w:vMerge/>
          </w:tcPr>
          <w:p/>
        </w:tc>
        <w:tc>
          <w:tcPr>
            <w:tcW w:type="dxa" w:w="1661"/>
          </w:tcPr>
          <w:p>
            <w:pPr>
              <w:pStyle w:val="null3"/>
            </w:pPr>
            <w:r>
              <w:rPr>
                <w:rFonts w:ascii="仿宋_GB2312" w:hAnsi="仿宋_GB2312" w:cs="仿宋_GB2312" w:eastAsia="仿宋_GB2312"/>
              </w:rPr>
              <w:t>应急预案措施</w:t>
            </w:r>
          </w:p>
        </w:tc>
        <w:tc>
          <w:tcPr>
            <w:tcW w:type="dxa" w:w="2492"/>
          </w:tcPr>
          <w:p>
            <w:pPr>
              <w:pStyle w:val="null3"/>
            </w:pPr>
            <w:r>
              <w:rPr>
                <w:rFonts w:ascii="仿宋_GB2312" w:hAnsi="仿宋_GB2312" w:cs="仿宋_GB2312" w:eastAsia="仿宋_GB2312"/>
              </w:rPr>
              <w:t>一、评审内容：针对本项目制定应急预案措施进行评审。 二、赋分标准： 1.完整性：对上述内容有描述，得1分；不提供不得分。 2.针对性：上述内容针对性明确得2分；针对性较明确得1分；缺乏针对性得0分。此项不提供不得分。 3.可实施性：上述内容可实施性合理得2分；可实施性较合理得1分；缺乏可实施性得0分。此项不提供不得分。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主观响应.docx</w:t>
            </w:r>
          </w:p>
        </w:tc>
      </w:tr>
      <w:tr>
        <w:tc>
          <w:tcPr>
            <w:tcW w:type="dxa" w:w="831"/>
            <w:vMerge/>
          </w:tcPr>
          <w:p/>
        </w:tc>
        <w:tc>
          <w:tcPr>
            <w:tcW w:type="dxa" w:w="1661"/>
          </w:tcPr>
          <w:p>
            <w:pPr>
              <w:pStyle w:val="null3"/>
            </w:pPr>
            <w:r>
              <w:rPr>
                <w:rFonts w:ascii="仿宋_GB2312" w:hAnsi="仿宋_GB2312" w:cs="仿宋_GB2312" w:eastAsia="仿宋_GB2312"/>
              </w:rPr>
              <w:t>劳动力配备</w:t>
            </w:r>
          </w:p>
        </w:tc>
        <w:tc>
          <w:tcPr>
            <w:tcW w:type="dxa" w:w="2492"/>
          </w:tcPr>
          <w:p>
            <w:pPr>
              <w:pStyle w:val="null3"/>
            </w:pPr>
            <w:r>
              <w:rPr>
                <w:rFonts w:ascii="仿宋_GB2312" w:hAnsi="仿宋_GB2312" w:cs="仿宋_GB2312" w:eastAsia="仿宋_GB2312"/>
              </w:rPr>
              <w:t>一、评审内容：针对本项目劳动力配备进行评审。 二、赋分标准： 1.完整性：对上述内容有描述得1分，此项不提供不得分。 2.针对性：上述内容针对性明确得2分；针对性较明确得1分；缺乏针对性得0分。此项不提供不得分。 3.可实施性：上述内容可实施性合理得2分；可实施性较合理得1分；缺乏可实施性得0分。此项不提供不得分。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一、评审内容：供应商提供2024年1月至今完成的类似项目业绩。 二、赋分标准：每提供一个合格业绩得2.5分，满分5分。未提供此项内容不得分。 注：业绩以中标（成交）通知书或合同（协议书)为准，响应文件内附扫描件。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项目组织人员配备</w:t>
            </w:r>
          </w:p>
        </w:tc>
        <w:tc>
          <w:tcPr>
            <w:tcW w:type="dxa" w:w="2492"/>
          </w:tcPr>
          <w:p>
            <w:pPr>
              <w:pStyle w:val="null3"/>
            </w:pPr>
            <w:r>
              <w:rPr>
                <w:rFonts w:ascii="仿宋_GB2312" w:hAnsi="仿宋_GB2312" w:cs="仿宋_GB2312" w:eastAsia="仿宋_GB2312"/>
              </w:rPr>
              <w:t>一、评审内容： 所配备项目技术负责人、施工员、质检员、安全员、材料员，具备相关专业技术职称或岗位证书。 二、评审标准： 全部满足得 10 分，每缺少一人或相应人员无证书证件扣 2分，扣完为止。 响应文件内附相应人员证书证件扫描件并签章。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一、评审内容：供应商针对本项目特点提供切实可行的施工安全承诺、文明施工承诺、施工质量保证承诺、工期保证承诺、施工环境承诺，保证按时按质按量完成本项目（承诺格式自拟）。 二、赋分标准：每提供一项承诺得1分，满分5分。未提供此项内容不得分。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1.上限为采购最高限价，即报价大于上限价视为无效报价； 2.以满足本次磋商文件要求的最低报价为评审基准价，其价格为满分； 3.磋商供应商报价得分=（评审基准价/最终报价）×30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详见附件：商务要求偏离表.docx</w:t>
      </w:r>
    </w:p>
    <w:p>
      <w:pPr>
        <w:pStyle w:val="null3"/>
        <w:ind w:firstLine="960"/>
      </w:pPr>
      <w:r>
        <w:rPr>
          <w:rFonts w:ascii="仿宋_GB2312" w:hAnsi="仿宋_GB2312" w:cs="仿宋_GB2312" w:eastAsia="仿宋_GB2312"/>
        </w:rPr>
        <w:t>详见附件：主观响应.docx</w:t>
      </w:r>
    </w:p>
    <w:p>
      <w:pPr>
        <w:pStyle w:val="null3"/>
        <w:ind w:firstLine="960"/>
      </w:pPr>
      <w:r>
        <w:rPr>
          <w:rFonts w:ascii="仿宋_GB2312" w:hAnsi="仿宋_GB2312" w:cs="仿宋_GB2312" w:eastAsia="仿宋_GB2312"/>
        </w:rPr>
        <w:t>详见附件：客观响应.docx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