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版本号：JZZB-【2026】-7920260826001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蒋村街道柳泉口村省级“千万工程”示范村建设提升项目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JZZB-【2026】-79</w:t>
      </w:r>
      <w:r>
        <w:br/>
      </w:r>
      <w:r>
        <w:br/>
      </w:r>
      <w:r>
        <w:br/>
      </w:r>
    </w:p>
    <w:p>
      <w:pPr>
        <w:pStyle w:val="null3"/>
        <w:jc w:val="center"/>
        <w:outlineLvl w:val="2"/>
      </w:pPr>
      <w:r>
        <w:rPr>
          <w:rFonts w:ascii="仿宋_GB2312" w:hAnsi="仿宋_GB2312" w:cs="仿宋_GB2312" w:eastAsia="仿宋_GB2312"/>
          <w:sz w:val="28"/>
          <w:b/>
        </w:rPr>
        <w:t>西安市鄠邑区蒋村街道办事处</w:t>
      </w:r>
    </w:p>
    <w:p>
      <w:pPr>
        <w:pStyle w:val="null3"/>
        <w:jc w:val="center"/>
        <w:outlineLvl w:val="2"/>
      </w:pPr>
      <w:r>
        <w:rPr>
          <w:rFonts w:ascii="仿宋_GB2312" w:hAnsi="仿宋_GB2312" w:cs="仿宋_GB2312" w:eastAsia="仿宋_GB2312"/>
          <w:sz w:val="28"/>
          <w:b/>
        </w:rPr>
        <w:t>陕西金泽盛业项目管理有限公司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陕西金泽盛业项目管理有限公司</w:t>
      </w:r>
      <w:r>
        <w:rPr>
          <w:rFonts w:ascii="仿宋_GB2312" w:hAnsi="仿宋_GB2312" w:cs="仿宋_GB2312" w:eastAsia="仿宋_GB2312"/>
        </w:rPr>
        <w:t>（以下简称“代理机构”）受</w:t>
      </w:r>
      <w:r>
        <w:rPr>
          <w:rFonts w:ascii="仿宋_GB2312" w:hAnsi="仿宋_GB2312" w:cs="仿宋_GB2312" w:eastAsia="仿宋_GB2312"/>
        </w:rPr>
        <w:t>西安市鄠邑区蒋村街道办事处</w:t>
      </w:r>
      <w:r>
        <w:rPr>
          <w:rFonts w:ascii="仿宋_GB2312" w:hAnsi="仿宋_GB2312" w:cs="仿宋_GB2312" w:eastAsia="仿宋_GB2312"/>
        </w:rPr>
        <w:t>委托，拟对</w:t>
      </w:r>
      <w:r>
        <w:rPr>
          <w:rFonts w:ascii="仿宋_GB2312" w:hAnsi="仿宋_GB2312" w:cs="仿宋_GB2312" w:eastAsia="仿宋_GB2312"/>
        </w:rPr>
        <w:t>蒋村街道柳泉口村省级“千万工程”示范村建设提升项目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JZZB-【2026】-79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蒋村街道柳泉口村省级“千万工程”示范村建设提升项目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工程为蒋村街道柳泉口村省级“千万工程”示范村建设提升项目，该项目位于蒋村街道柳泉口村，主要建设内容包含整理绿化用地、栽植乔木、施基肥、黑地膜敷设、电缆沟、电缆管线敷设、新建水源井及配套电气设备。</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采购包1（蒋村街道柳泉口村省级“千万工程”示范村建设提升项目）：属于专门面向中小企业采购。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2、项目负责人：拟派项目负责人须具备园林绿化或相关专业中级及以上职称，且未担任其他在建工程项目的项目负责人；</w:t>
      </w:r>
    </w:p>
    <w:p>
      <w:pPr>
        <w:pStyle w:val="null3"/>
      </w:pPr>
      <w:r>
        <w:rPr>
          <w:rFonts w:ascii="仿宋_GB2312" w:hAnsi="仿宋_GB2312" w:cs="仿宋_GB2312" w:eastAsia="仿宋_GB2312"/>
        </w:rPr>
        <w:t>3、法定代表人授权书：供应商应授权合法的人员参加投标：法定代表人直接参加投标，须出具法定代表人身份证明及身份证；法定代表人授权代表参加投标，须出具法定代表人授权书及被授权人身份证；</w:t>
      </w:r>
    </w:p>
    <w:p>
      <w:pPr>
        <w:pStyle w:val="null3"/>
      </w:pPr>
      <w:r>
        <w:rPr>
          <w:rFonts w:ascii="仿宋_GB2312" w:hAnsi="仿宋_GB2312" w:cs="仿宋_GB2312" w:eastAsia="仿宋_GB2312"/>
        </w:rPr>
        <w:t>4、信用查询：供应商不得被列入“信用中国”网站（www.creditchina.gov.cn）重大税收违法失信主体，不得被列入“中国执行信息公开网”（https://zxgk.court.gov.cn/shixin/）失信被执行人名单，不得被列入“中国政府采购网”（www.ccgp.gov.cn）政府采购严重违法失信行为记录名单；</w:t>
      </w:r>
    </w:p>
    <w:p>
      <w:pPr>
        <w:pStyle w:val="null3"/>
      </w:pPr>
      <w:r>
        <w:rPr>
          <w:rFonts w:ascii="仿宋_GB2312" w:hAnsi="仿宋_GB2312" w:cs="仿宋_GB2312" w:eastAsia="仿宋_GB2312"/>
        </w:rPr>
        <w:t>5、承诺函：供应商负责人为同一人或者存在控股、管理关系的不同单位，不得参加同一采购项目，提供承诺函。</w:t>
      </w:r>
    </w:p>
    <w:p>
      <w:pPr>
        <w:pStyle w:val="null3"/>
      </w:pPr>
      <w:r>
        <w:rPr>
          <w:rFonts w:ascii="仿宋_GB2312" w:hAnsi="仿宋_GB2312" w:cs="仿宋_GB2312" w:eastAsia="仿宋_GB2312"/>
        </w:rPr>
        <w:t>6、税收缴纳证明：提供投标截止日前近一年内任意一个月的纳税证明或完税证明(任意税种)，依法免税的单位应提供相关证明材料</w:t>
      </w:r>
    </w:p>
    <w:p>
      <w:pPr>
        <w:pStyle w:val="null3"/>
      </w:pPr>
      <w:r>
        <w:rPr>
          <w:rFonts w:ascii="仿宋_GB2312" w:hAnsi="仿宋_GB2312" w:cs="仿宋_GB2312" w:eastAsia="仿宋_GB2312"/>
        </w:rPr>
        <w:t>7、社会保障资金缴纳证明：提供投标截止日前一年内已缴存的任意一个月的社会保障资金缴存单据或社保机构开具的社会保险参保缴费情况证明，依法不需要缴纳社会保障资金的单位应提供相关证明材料。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8、无重大违法记录的书面声明：供应商参加本次磋商前3年内，在经营活动中没有重大违法记录的书面声明。</w:t>
      </w:r>
    </w:p>
    <w:p>
      <w:pPr>
        <w:pStyle w:val="null3"/>
      </w:pPr>
      <w:r>
        <w:rPr>
          <w:rFonts w:ascii="仿宋_GB2312" w:hAnsi="仿宋_GB2312" w:cs="仿宋_GB2312" w:eastAsia="仿宋_GB2312"/>
        </w:rPr>
        <w:t>9、联合体投标：本项目不接受联合体投标，提供承诺函。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西安市鄠邑区蒋村街道办事处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西安市鄠邑区蒋村街道办事处经办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029-84903378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陕西金泽盛业项目管理有限公司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西安市经济技术开发区凤城五路123号秦创原软科中心A座20层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高翠翠、王闯</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13109596903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鄠邑区政府采购管理股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李清维</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84882872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代理服务费收费标准：参照“国家计委关于印发《招标代理服务收费管理暂行办法》的通知（计价格[2002]1980号）、国家发展改革委《关于降低部分建设项目收费标准规范收费行为等有关问题的通知》（发改价格[2011]534号）”规定收费标准收取。代理费不足8000元的，按8000元收取。 招标代理服务费收款账户信息： 招标代理机构开户名称：陕西金泽盛业项目管理有限公司 开户行名称：北京银行股份有限公司西安大明宫支行 账号：200000 430482 000331 80933 转账附言：项目名称+代理服务费 注：成交人支付招标代理服务费后，请将转账凭证、单位开票信息、发票收件人地址信息发至3030240844@qq.com，如有疑问，可致电13109596903。</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西安市鄠邑区蒋村街道办事处</w:t>
      </w:r>
      <w:r>
        <w:rPr>
          <w:rFonts w:ascii="仿宋_GB2312" w:hAnsi="仿宋_GB2312" w:cs="仿宋_GB2312" w:eastAsia="仿宋_GB2312"/>
        </w:rPr>
        <w:t>和</w:t>
      </w:r>
      <w:r>
        <w:rPr>
          <w:rFonts w:ascii="仿宋_GB2312" w:hAnsi="仿宋_GB2312" w:cs="仿宋_GB2312" w:eastAsia="仿宋_GB2312"/>
        </w:rPr>
        <w:t>陕西金泽盛业项目管理有限公司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西安市鄠邑区蒋村街道办事处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陕西金泽盛业项目管理有限公司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西安市鄠邑区蒋村街道办事处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陕西金泽盛业项目管理有限公司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陕西金泽盛业项目管理有限公司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陕西金泽盛业项目管理有限公司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陕西金泽盛业项目管理有限公司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联系人：王工</w:t>
      </w:r>
    </w:p>
    <w:p>
      <w:pPr>
        <w:pStyle w:val="null3"/>
      </w:pPr>
      <w:r>
        <w:rPr>
          <w:rFonts w:ascii="仿宋_GB2312" w:hAnsi="仿宋_GB2312" w:cs="仿宋_GB2312" w:eastAsia="仿宋_GB2312"/>
        </w:rPr>
        <w:t>联系电话：13109596903</w:t>
      </w:r>
    </w:p>
    <w:p>
      <w:pPr>
        <w:pStyle w:val="null3"/>
      </w:pPr>
      <w:r>
        <w:rPr>
          <w:rFonts w:ascii="仿宋_GB2312" w:hAnsi="仿宋_GB2312" w:cs="仿宋_GB2312" w:eastAsia="仿宋_GB2312"/>
        </w:rPr>
        <w:t>地址：西安市经济技术开发区凤城五路123号秦创原软科中心A座20层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970,017.72</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蒋村街道柳泉口村省级“千万工程”示范村建设提升项目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1,000,000.00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标的名称：蒋村街道柳泉口村省级“千万工程”示范村建设提升项目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315"/>
              <w:ind w:left="420"/>
              <w:jc w:val="both"/>
            </w:pPr>
            <w:r>
              <w:rPr>
                <w:rFonts w:ascii="仿宋_GB2312" w:hAnsi="仿宋_GB2312" w:cs="仿宋_GB2312" w:eastAsia="仿宋_GB2312"/>
                <w:sz w:val="28"/>
                <w:b/>
              </w:rPr>
              <w:t>一、项目概况</w:t>
            </w:r>
          </w:p>
          <w:p>
            <w:pPr>
              <w:pStyle w:val="null3"/>
              <w:spacing w:before="315"/>
              <w:ind w:left="420"/>
              <w:jc w:val="both"/>
            </w:pPr>
            <w:r>
              <w:rPr>
                <w:rFonts w:ascii="仿宋_GB2312" w:hAnsi="仿宋_GB2312" w:cs="仿宋_GB2312" w:eastAsia="仿宋_GB2312"/>
                <w:sz w:val="28"/>
              </w:rPr>
              <w:t>本工程为蒋村街道柳泉口村省级</w:t>
            </w:r>
            <w:r>
              <w:rPr>
                <w:rFonts w:ascii="仿宋_GB2312" w:hAnsi="仿宋_GB2312" w:cs="仿宋_GB2312" w:eastAsia="仿宋_GB2312"/>
                <w:sz w:val="28"/>
              </w:rPr>
              <w:t>“千万工程”示范村建设提升项目，该项目位于蒋村街道柳泉口村，主要建设内容包含整理绿化用地、栽植乔木、施基肥、黑地膜敷设、电缆沟、电缆管线敷设、新建水源井及配套电气设备。</w:t>
            </w:r>
          </w:p>
          <w:p>
            <w:pPr>
              <w:pStyle w:val="null3"/>
              <w:spacing w:before="315"/>
              <w:ind w:left="420"/>
              <w:jc w:val="both"/>
            </w:pPr>
            <w:r>
              <w:rPr>
                <w:rFonts w:ascii="仿宋_GB2312" w:hAnsi="仿宋_GB2312" w:cs="仿宋_GB2312" w:eastAsia="仿宋_GB2312"/>
                <w:sz w:val="28"/>
                <w:b/>
              </w:rPr>
              <w:t>二、工程内容和施工地点、计划工期、缺陷责任期、质量保修期</w:t>
            </w:r>
          </w:p>
          <w:p>
            <w:pPr>
              <w:pStyle w:val="null3"/>
              <w:ind w:firstLine="560"/>
              <w:jc w:val="both"/>
            </w:pPr>
            <w:r>
              <w:rPr>
                <w:rFonts w:ascii="仿宋_GB2312" w:hAnsi="仿宋_GB2312" w:cs="仿宋_GB2312" w:eastAsia="仿宋_GB2312"/>
                <w:sz w:val="28"/>
              </w:rPr>
              <w:t>（一）工程内容：主要建设内容包含整理绿化用地、栽植乔木、施基肥、黑地膜敷设、电缆沟、电缆管线敷设、新建水源井及配套电气设备。</w:t>
            </w:r>
          </w:p>
          <w:p>
            <w:pPr>
              <w:pStyle w:val="null3"/>
              <w:ind w:firstLine="560"/>
              <w:jc w:val="both"/>
            </w:pPr>
            <w:r>
              <w:rPr>
                <w:rFonts w:ascii="仿宋_GB2312" w:hAnsi="仿宋_GB2312" w:cs="仿宋_GB2312" w:eastAsia="仿宋_GB2312"/>
                <w:sz w:val="28"/>
              </w:rPr>
              <w:t>1.蒋村街道柳泉口村省级“千万工程”示范村建设提升柳泉口村桃园产业项目</w:t>
            </w:r>
          </w:p>
          <w:p>
            <w:pPr>
              <w:pStyle w:val="null3"/>
              <w:ind w:firstLine="560"/>
              <w:jc w:val="both"/>
            </w:pPr>
            <w:r>
              <w:rPr>
                <w:rFonts w:ascii="仿宋_GB2312" w:hAnsi="仿宋_GB2312" w:cs="仿宋_GB2312" w:eastAsia="仿宋_GB2312"/>
                <w:sz w:val="28"/>
              </w:rPr>
              <w:t>工程类别：园林绿化工程</w:t>
            </w:r>
          </w:p>
          <w:p>
            <w:pPr>
              <w:pStyle w:val="null3"/>
              <w:ind w:firstLine="560"/>
              <w:jc w:val="both"/>
            </w:pPr>
            <w:r>
              <w:rPr>
                <w:rFonts w:ascii="仿宋_GB2312" w:hAnsi="仿宋_GB2312" w:cs="仿宋_GB2312" w:eastAsia="仿宋_GB2312"/>
                <w:sz w:val="28"/>
              </w:rPr>
              <w:t>2.蒋村街道柳泉口村省级“千万工程”示范村建设提升项目（产业基础设施类）</w:t>
            </w:r>
          </w:p>
          <w:p>
            <w:pPr>
              <w:pStyle w:val="null3"/>
              <w:ind w:firstLine="560"/>
              <w:jc w:val="both"/>
            </w:pPr>
            <w:r>
              <w:rPr>
                <w:rFonts w:ascii="仿宋_GB2312" w:hAnsi="仿宋_GB2312" w:cs="仿宋_GB2312" w:eastAsia="仿宋_GB2312"/>
                <w:sz w:val="28"/>
              </w:rPr>
              <w:t>工程类别：水利工程</w:t>
            </w:r>
          </w:p>
          <w:p>
            <w:pPr>
              <w:pStyle w:val="null3"/>
              <w:ind w:firstLine="480"/>
            </w:pPr>
            <w:r>
              <w:rPr>
                <w:rFonts w:ascii="仿宋_GB2312" w:hAnsi="仿宋_GB2312" w:cs="仿宋_GB2312" w:eastAsia="仿宋_GB2312"/>
                <w:sz w:val="28"/>
              </w:rPr>
              <w:t>（二）工程地点：西安市鄠邑区。</w:t>
            </w:r>
          </w:p>
          <w:p>
            <w:pPr>
              <w:pStyle w:val="null3"/>
              <w:ind w:firstLine="480"/>
            </w:pPr>
            <w:r>
              <w:rPr>
                <w:rFonts w:ascii="仿宋_GB2312" w:hAnsi="仿宋_GB2312" w:cs="仿宋_GB2312" w:eastAsia="仿宋_GB2312"/>
                <w:sz w:val="28"/>
              </w:rPr>
              <w:t>（三）计划工期：</w:t>
            </w:r>
            <w:r>
              <w:rPr>
                <w:rFonts w:ascii="仿宋_GB2312" w:hAnsi="仿宋_GB2312" w:cs="仿宋_GB2312" w:eastAsia="仿宋_GB2312"/>
                <w:sz w:val="28"/>
              </w:rPr>
              <w:t>自进场之日起</w:t>
            </w:r>
            <w:r>
              <w:rPr>
                <w:rFonts w:ascii="仿宋_GB2312" w:hAnsi="仿宋_GB2312" w:cs="仿宋_GB2312" w:eastAsia="仿宋_GB2312"/>
                <w:sz w:val="28"/>
              </w:rPr>
              <w:t>60个日历日内竣工。</w:t>
            </w:r>
          </w:p>
          <w:p>
            <w:pPr>
              <w:pStyle w:val="null3"/>
              <w:ind w:firstLine="480"/>
            </w:pPr>
            <w:r>
              <w:rPr>
                <w:rFonts w:ascii="仿宋_GB2312" w:hAnsi="仿宋_GB2312" w:cs="仿宋_GB2312" w:eastAsia="仿宋_GB2312"/>
                <w:sz w:val="28"/>
              </w:rPr>
              <w:t>（四）缺陷责任期：</w:t>
            </w:r>
            <w:r>
              <w:rPr>
                <w:rFonts w:ascii="仿宋_GB2312" w:hAnsi="仿宋_GB2312" w:cs="仿宋_GB2312" w:eastAsia="仿宋_GB2312"/>
                <w:sz w:val="28"/>
              </w:rPr>
              <w:t>2年。</w:t>
            </w:r>
          </w:p>
          <w:p>
            <w:pPr>
              <w:pStyle w:val="null3"/>
              <w:spacing w:before="315"/>
              <w:ind w:left="420"/>
              <w:jc w:val="both"/>
            </w:pPr>
            <w:r>
              <w:rPr>
                <w:rFonts w:ascii="仿宋_GB2312" w:hAnsi="仿宋_GB2312" w:cs="仿宋_GB2312" w:eastAsia="仿宋_GB2312"/>
                <w:sz w:val="28"/>
              </w:rPr>
              <w:t>（五）质量保修期：见《建设工程质量管理条例》。</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1.符合国家及行业质量验收“合格”标准; 2.符合《安全生产管理条例》的标准;符合工程相关规范要求; 3.工程验收标准:双方约定，在符合采购文件及合同中关于本工程施工要求的前提下，以采购人现场验收合格为准。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或2025年度的财务审计报告（至少包括资产负债表、利润表（损益表）、现金流量表、所有者权益变动表及财务报表附注，成立时间至提交投标文件截止时间不足一年的可提供成立后任意时段的资产负债表）；或其开标前半年内基本存款账户开户银行出具的资信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拟派项目负责人须具备园林绿化或相关专业中级及以上职称，且未担任其他在建工程项目的项目负责人；</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供应商应授权合法的人员参加投标：法定代表人直接参加投标，须出具法定代表人身份证明及身份证；法定代表人授权代表参加投标，须出具法定代表人授权书及被授权人身份证；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被列入“信用中国”网站（www.creditchina.gov.cn）重大税收违法失信主体，不得被列入“中国执行信息公开网”（https://zxgk.court.gov.cn/shixin/）失信被执行人名单，不得被列入“中国政府采购网”（www.ccgp.gov.cn）政府采购严重违法失信行为记录名单；</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供应商负责人为同一人或者存在控股、管理关系的不同单位，不得参加同一采购项目，提供承诺函。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提供投标截止日前近一年内任意一个月的纳税证明或完税证明(任意税种)，依法免税的单位应提供相关证明材料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提供投标截止日前一年内已缴存的任意一个月的社会保障资金缴存单据或社保机构开具的社会保险参保缴费情况证明，依法不需要缴纳社会保障资金的单位应提供相关证明材料。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无重大违法记录的书面声明</w:t>
            </w:r>
          </w:p>
        </w:tc>
        <w:tc>
          <w:tcPr>
            <w:tcW w:type="dxa" w:w="3322"/>
          </w:tcPr>
          <w:p>
            <w:pPr>
              <w:pStyle w:val="null3"/>
            </w:pPr>
            <w:r>
              <w:rPr>
                <w:rFonts w:ascii="仿宋_GB2312" w:hAnsi="仿宋_GB2312" w:cs="仿宋_GB2312" w:eastAsia="仿宋_GB2312"/>
              </w:rPr>
              <w:t>供应商参加本次磋商前3年内，在经营活动中没有重大违法记录的书面声明。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联合体投标</w:t>
            </w:r>
          </w:p>
        </w:tc>
        <w:tc>
          <w:tcPr>
            <w:tcW w:type="dxa" w:w="3322"/>
          </w:tcPr>
          <w:p>
            <w:pPr>
              <w:pStyle w:val="null3"/>
            </w:pPr>
            <w:r>
              <w:rPr>
                <w:rFonts w:ascii="仿宋_GB2312" w:hAnsi="仿宋_GB2312" w:cs="仿宋_GB2312" w:eastAsia="仿宋_GB2312"/>
              </w:rPr>
              <w:t>本项目不接受联合体投标，提供承诺函。</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已标价工程量清单 报价函 标的清单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文件签署盖章</w:t>
            </w:r>
          </w:p>
        </w:tc>
        <w:tc>
          <w:tcPr>
            <w:tcW w:type="dxa" w:w="3322"/>
          </w:tcPr>
          <w:p>
            <w:pPr>
              <w:pStyle w:val="null3"/>
            </w:pPr>
            <w:r>
              <w:rPr>
                <w:rFonts w:ascii="仿宋_GB2312" w:hAnsi="仿宋_GB2312" w:cs="仿宋_GB2312" w:eastAsia="仿宋_GB2312"/>
              </w:rPr>
              <w:t>响应文件上法定代表人或其授权代表人的签字盖章齐全及其它需要签字盖章页签字盖章齐全</w:t>
            </w:r>
          </w:p>
        </w:tc>
        <w:tc>
          <w:tcPr>
            <w:tcW w:type="dxa" w:w="1661"/>
          </w:tcPr>
          <w:p>
            <w:pPr>
              <w:pStyle w:val="null3"/>
            </w:pPr>
            <w:r>
              <w:rPr>
                <w:rFonts w:ascii="仿宋_GB2312" w:hAnsi="仿宋_GB2312" w:cs="仿宋_GB2312" w:eastAsia="仿宋_GB2312"/>
              </w:rPr>
              <w:t>拟派项目负责人.docx 陕西省政府采购供应商拒绝政府采购领域商业贿赂承诺书.pdf 施工总平面布置.docx 现场组织机构情况.docx 确保工期的技术组织措施.docx 供应商应提交的相关资格证明材料.docx 确保环境保护组织措施.docx 施工组织和项目管理机构.docx 标的清单 劳动力安排计划及劳务分包情况表.docx 确保文明施工的技术组织措施.docx 类似业绩.docx 监狱企业的证明文件 确保安全生产技术组织措施.docx 施工机械配备和材料投入计划.docx 已标价工程量清单 中小企业声明函 技术服务合同条款及其他商务要求应答表 合理化建议.docx 响应文件封面 确保工程质量的技术组织措施.docx 残疾人福利性单位声明函 施工方案.docx 报价函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文件格式</w:t>
            </w:r>
          </w:p>
        </w:tc>
        <w:tc>
          <w:tcPr>
            <w:tcW w:type="dxa" w:w="3322"/>
          </w:tcPr>
          <w:p>
            <w:pPr>
              <w:pStyle w:val="null3"/>
            </w:pPr>
            <w:r>
              <w:rPr>
                <w:rFonts w:ascii="仿宋_GB2312" w:hAnsi="仿宋_GB2312" w:cs="仿宋_GB2312" w:eastAsia="仿宋_GB2312"/>
              </w:rPr>
              <w:t>应符合“竞争性磋商文件格式”要求</w:t>
            </w:r>
          </w:p>
        </w:tc>
        <w:tc>
          <w:tcPr>
            <w:tcW w:type="dxa" w:w="1661"/>
          </w:tcPr>
          <w:p>
            <w:pPr>
              <w:pStyle w:val="null3"/>
            </w:pPr>
            <w:r>
              <w:rPr>
                <w:rFonts w:ascii="仿宋_GB2312" w:hAnsi="仿宋_GB2312" w:cs="仿宋_GB2312" w:eastAsia="仿宋_GB2312"/>
              </w:rPr>
              <w:t>响应文件封面 已标价工程量清单 中小企业声明函 残疾人福利性单位声明函 报价函 技术服务合同条款及其他商务要求应答表 标的清单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满足文件要求</w:t>
            </w:r>
          </w:p>
        </w:tc>
        <w:tc>
          <w:tcPr>
            <w:tcW w:type="dxa" w:w="1661"/>
          </w:tcPr>
          <w:p>
            <w:pPr>
              <w:pStyle w:val="null3"/>
            </w:pPr>
            <w:r>
              <w:rPr>
                <w:rFonts w:ascii="仿宋_GB2312" w:hAnsi="仿宋_GB2312" w:cs="仿宋_GB2312" w:eastAsia="仿宋_GB2312"/>
              </w:rPr>
              <w:t>响应文件封面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根据方案完整且切实可行，描述清晰，且能针对性满足本项目得9分；方案详细，方案涵盖角度基本全面，得6分；方案内容较完整，描述一般，可操作性一般，基本能够满足本项目得3分；方案内容较简单，描述简单，可操作性较差得1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确保安全生产技术组织措施</w:t>
            </w:r>
          </w:p>
        </w:tc>
        <w:tc>
          <w:tcPr>
            <w:tcW w:type="dxa" w:w="2492"/>
          </w:tcPr>
          <w:p>
            <w:pPr>
              <w:pStyle w:val="null3"/>
            </w:pPr>
            <w:r>
              <w:rPr>
                <w:rFonts w:ascii="仿宋_GB2312" w:hAnsi="仿宋_GB2312" w:cs="仿宋_GB2312" w:eastAsia="仿宋_GB2312"/>
              </w:rPr>
              <w:t>技术组织措施合理、完善、详尽，完全满足项目的要求且可行性强的得4分；技术组织措施合理、完善、详尽基本全面，得3分；技术组织措施基本合理满足项目的要求且有一定可行性的得2分；技术组织措施基本合理满足项目的要求且但可行性较差的得1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确保安全生产技术组织措施.docx</w:t>
            </w:r>
          </w:p>
        </w:tc>
      </w:tr>
      <w:tr>
        <w:tc>
          <w:tcPr>
            <w:tcW w:type="dxa" w:w="831"/>
            <w:vMerge/>
          </w:tcPr>
          <w:p/>
        </w:tc>
        <w:tc>
          <w:tcPr>
            <w:tcW w:type="dxa" w:w="1661"/>
          </w:tcPr>
          <w:p>
            <w:pPr>
              <w:pStyle w:val="null3"/>
            </w:pPr>
            <w:r>
              <w:rPr>
                <w:rFonts w:ascii="仿宋_GB2312" w:hAnsi="仿宋_GB2312" w:cs="仿宋_GB2312" w:eastAsia="仿宋_GB2312"/>
              </w:rPr>
              <w:t>施工总平面布置</w:t>
            </w:r>
          </w:p>
        </w:tc>
        <w:tc>
          <w:tcPr>
            <w:tcW w:type="dxa" w:w="2492"/>
          </w:tcPr>
          <w:p>
            <w:pPr>
              <w:pStyle w:val="null3"/>
            </w:pPr>
            <w:r>
              <w:rPr>
                <w:rFonts w:ascii="仿宋_GB2312" w:hAnsi="仿宋_GB2312" w:cs="仿宋_GB2312" w:eastAsia="仿宋_GB2312"/>
              </w:rPr>
              <w:t>根据施工总平面布置合理完整，清晰，且能针对性满足项目得4分；施工总平面布置基本全面，得3分；施工总平面布置较完整，简单，有一定可行性得2分；施工总平面布置笼统，模糊，可行性不强得1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施工总平面布置.docx</w:t>
            </w:r>
          </w:p>
        </w:tc>
      </w:tr>
      <w:tr>
        <w:tc>
          <w:tcPr>
            <w:tcW w:type="dxa" w:w="831"/>
            <w:vMerge/>
          </w:tcPr>
          <w:p/>
        </w:tc>
        <w:tc>
          <w:tcPr>
            <w:tcW w:type="dxa" w:w="1661"/>
          </w:tcPr>
          <w:p>
            <w:pPr>
              <w:pStyle w:val="null3"/>
            </w:pPr>
            <w:r>
              <w:rPr>
                <w:rFonts w:ascii="仿宋_GB2312" w:hAnsi="仿宋_GB2312" w:cs="仿宋_GB2312" w:eastAsia="仿宋_GB2312"/>
              </w:rPr>
              <w:t>劳动力安排计划及劳务分包情况表</w:t>
            </w:r>
          </w:p>
        </w:tc>
        <w:tc>
          <w:tcPr>
            <w:tcW w:type="dxa" w:w="2492"/>
          </w:tcPr>
          <w:p>
            <w:pPr>
              <w:pStyle w:val="null3"/>
            </w:pPr>
            <w:r>
              <w:rPr>
                <w:rFonts w:ascii="仿宋_GB2312" w:hAnsi="仿宋_GB2312" w:cs="仿宋_GB2312" w:eastAsia="仿宋_GB2312"/>
              </w:rPr>
              <w:t>根据劳动力计划表合理完整，清晰，且能针对性满足项目得4分；劳动力计划表基本全面，得3分；劳动力计划表较完整，简单，有一定可行性得2分；劳动力计划表笼统，模糊，可行性不强得1分；未提供不得分。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劳动力安排计划及劳务分包情况表.docx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w:t>
            </w:r>
          </w:p>
        </w:tc>
        <w:tc>
          <w:tcPr>
            <w:tcW w:type="dxa" w:w="2492"/>
          </w:tcPr>
          <w:p>
            <w:pPr>
              <w:pStyle w:val="null3"/>
            </w:pPr>
            <w:r>
              <w:rPr>
                <w:rFonts w:ascii="仿宋_GB2312" w:hAnsi="仿宋_GB2312" w:cs="仿宋_GB2312" w:eastAsia="仿宋_GB2312"/>
              </w:rPr>
              <w:t>充分了解本项目采购需求及安全文明施工相关政策要求，措施健全、合理、完善、详尽，完全满足项目的要求且可行性强的得4分；对本项目采购需求及安全文明施工相关政策要求基本全面，得3分；对本项目采购需求及安全文明施工相关政策要求了解较为充分，措施内容较为完整，描述简单得2分；对本项目采购需求及安全文明施工相关政策要求不够了解，技术组织措施内容较差，描述不清晰得1 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确保文明施工的技术组织措施.docx</w:t>
            </w:r>
          </w:p>
        </w:tc>
      </w:tr>
      <w:tr>
        <w:tc>
          <w:tcPr>
            <w:tcW w:type="dxa" w:w="831"/>
            <w:vMerge/>
          </w:tcPr>
          <w:p/>
        </w:tc>
        <w:tc>
          <w:tcPr>
            <w:tcW w:type="dxa" w:w="1661"/>
          </w:tcPr>
          <w:p>
            <w:pPr>
              <w:pStyle w:val="null3"/>
            </w:pPr>
            <w:r>
              <w:rPr>
                <w:rFonts w:ascii="仿宋_GB2312" w:hAnsi="仿宋_GB2312" w:cs="仿宋_GB2312" w:eastAsia="仿宋_GB2312"/>
              </w:rPr>
              <w:t>确保环境保护组织措施</w:t>
            </w:r>
          </w:p>
        </w:tc>
        <w:tc>
          <w:tcPr>
            <w:tcW w:type="dxa" w:w="2492"/>
          </w:tcPr>
          <w:p>
            <w:pPr>
              <w:pStyle w:val="null3"/>
            </w:pPr>
            <w:r>
              <w:rPr>
                <w:rFonts w:ascii="仿宋_GB2312" w:hAnsi="仿宋_GB2312" w:cs="仿宋_GB2312" w:eastAsia="仿宋_GB2312"/>
              </w:rPr>
              <w:t>根据措施内容完整，描述清晰，且能针对性满足项目得4分；措施内容基本全面，得3分；措施内容较完整，描述简单，可行性一般，基本满足项目得2分；措施内容笼统，描述简单，可行性不强得1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确保环境保护组织措施.docx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有健全可行且完整的技术组织措施，描述清晰，满足项目需求得4分；技术组织措施基本全面，得3分；技术组织措施较完整，描述简单,基本满足项目得2分；管理制度内容笼统，描述模糊得1分;未提供不得分。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确保工期的技术组织措施.docx</w:t>
            </w:r>
          </w:p>
        </w:tc>
      </w:tr>
      <w:tr>
        <w:tc>
          <w:tcPr>
            <w:tcW w:type="dxa" w:w="831"/>
            <w:vMerge/>
          </w:tcPr>
          <w:p/>
        </w:tc>
        <w:tc>
          <w:tcPr>
            <w:tcW w:type="dxa" w:w="1661"/>
          </w:tcPr>
          <w:p>
            <w:pPr>
              <w:pStyle w:val="null3"/>
            </w:pPr>
            <w:r>
              <w:rPr>
                <w:rFonts w:ascii="仿宋_GB2312" w:hAnsi="仿宋_GB2312" w:cs="仿宋_GB2312" w:eastAsia="仿宋_GB2312"/>
              </w:rPr>
              <w:t>施工组织和项目管理机构</w:t>
            </w:r>
          </w:p>
        </w:tc>
        <w:tc>
          <w:tcPr>
            <w:tcW w:type="dxa" w:w="2492"/>
          </w:tcPr>
          <w:p>
            <w:pPr>
              <w:pStyle w:val="null3"/>
            </w:pPr>
            <w:r>
              <w:rPr>
                <w:rFonts w:ascii="仿宋_GB2312" w:hAnsi="仿宋_GB2312" w:cs="仿宋_GB2312" w:eastAsia="仿宋_GB2312"/>
              </w:rPr>
              <w:t>施工组织和项目管理机构合理、完善、详尽，完全满足项目的要求且可行性强的得4分；施工组织和项目管理机构基本全面，得3分；施工组织和项目管理机构基本合理满足项目的要求且有一定可行性的得2分；施工组织和项目管理机构基本合理满足项目的要求但可行性较差的得1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施工组织和项目管理机构.docx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技术组织措施合理、完善、详尽，完全满足项目的要求且可行性强的得4分；技术组织措施基本全面，得3分；技术组织措施基本合理满足项目的要求且有一定可行性的得2分；技术组织措施基本合理满足项目的要求且但可行性较差的得1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确保工程质量的技术组织措施.docx</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机械配备情况及材料完整能充分满足本项目需求得4分；机械配备情况及材料完整基本全面，得3分；机械配备情况及材料一般，基本能满足本项目需求得2分；配备情况不够充足，达不到本项目需求得1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施工机械配备和材料投入计划.docx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对本项目实施与管理提出合理化建议，有助于项目规划工作更加顺利进行。内容合理、完善、详尽，完全满足项目的要求且可行性强的得5分；内容基本合理满足项目的要求且有一定可行性的得3分；内容基本合理满足项目的要求且但可行性较差的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合理化建议.docx</w:t>
            </w:r>
          </w:p>
        </w:tc>
      </w:tr>
      <w:tr>
        <w:tc>
          <w:tcPr>
            <w:tcW w:type="dxa" w:w="831"/>
            <w:vMerge/>
          </w:tcPr>
          <w:p/>
        </w:tc>
        <w:tc>
          <w:tcPr>
            <w:tcW w:type="dxa" w:w="1661"/>
          </w:tcPr>
          <w:p>
            <w:pPr>
              <w:pStyle w:val="null3"/>
            </w:pPr>
            <w:r>
              <w:rPr>
                <w:rFonts w:ascii="仿宋_GB2312" w:hAnsi="仿宋_GB2312" w:cs="仿宋_GB2312" w:eastAsia="仿宋_GB2312"/>
              </w:rPr>
              <w:t>拟派项目负责人</w:t>
            </w:r>
          </w:p>
        </w:tc>
        <w:tc>
          <w:tcPr>
            <w:tcW w:type="dxa" w:w="2492"/>
          </w:tcPr>
          <w:p>
            <w:pPr>
              <w:pStyle w:val="null3"/>
            </w:pPr>
            <w:r>
              <w:rPr>
                <w:rFonts w:ascii="仿宋_GB2312" w:hAnsi="仿宋_GB2312" w:cs="仿宋_GB2312" w:eastAsia="仿宋_GB2312"/>
              </w:rPr>
              <w:t>拟派项目负责人须具备园林绿化或相关专业中级及以上职称得5分，未提供不得分。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拟派项目负责人.docx</w:t>
            </w:r>
          </w:p>
        </w:tc>
      </w:tr>
      <w:tr>
        <w:tc>
          <w:tcPr>
            <w:tcW w:type="dxa" w:w="831"/>
            <w:vMerge/>
          </w:tcPr>
          <w:p/>
        </w:tc>
        <w:tc>
          <w:tcPr>
            <w:tcW w:type="dxa" w:w="1661"/>
          </w:tcPr>
          <w:p>
            <w:pPr>
              <w:pStyle w:val="null3"/>
            </w:pPr>
            <w:r>
              <w:rPr>
                <w:rFonts w:ascii="仿宋_GB2312" w:hAnsi="仿宋_GB2312" w:cs="仿宋_GB2312" w:eastAsia="仿宋_GB2312"/>
              </w:rPr>
              <w:t>现场组织机构情况</w:t>
            </w:r>
          </w:p>
        </w:tc>
        <w:tc>
          <w:tcPr>
            <w:tcW w:type="dxa" w:w="2492"/>
          </w:tcPr>
          <w:p>
            <w:pPr>
              <w:pStyle w:val="null3"/>
            </w:pPr>
            <w:r>
              <w:rPr>
                <w:rFonts w:ascii="仿宋_GB2312" w:hAnsi="仿宋_GB2312" w:cs="仿宋_GB2312" w:eastAsia="仿宋_GB2312"/>
              </w:rPr>
              <w:t>项目部组建结构合理、专业配置齐全、主要人员数量充足、工作经验丰富等情况：1 .施工员1人，并具有住房和城乡建设领域施工现场专业人员职业培训合格证书得1分，没有不得分；2 .材料员1人，并具有住房和城乡建设领域施工现场专业人员职业培训合格证书得1分，没有不得分；3.资料员1人，并具有住房和城乡建设领域施工现场专业人员职业培训合格证书得1分，没有不得分；4.质量员1人，并具有住房和城乡建设领域施工现场专业人员职业培训合格证书得1分，没有不得分；5.安全员1人，并具有安全生产考核合格证书得1分，没有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现场组织机构情况.docx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近三年类似项目的业绩（2023年1 月至今），以合同为准，时间以合同签订时间为准。每具备1项得5分，最多得10分。评审依据：以申请人加盖公章的合同复印件或扫描件为准。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对各有效报价进行算术平均值计算，以算术平均值为评标基准价。最高得分点的投标报价=评标基准价。投标报价每高于评标基准价一个百分点扣0.5分，每低于评标基准价一个百分点扣0.25分，扣完为止，具体得分按插入法计算。</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详见附件：合理化建议.docx</w:t>
      </w:r>
    </w:p>
    <w:p>
      <w:pPr>
        <w:pStyle w:val="null3"/>
        <w:ind w:firstLine="960"/>
      </w:pPr>
      <w:r>
        <w:rPr>
          <w:rFonts w:ascii="仿宋_GB2312" w:hAnsi="仿宋_GB2312" w:cs="仿宋_GB2312" w:eastAsia="仿宋_GB2312"/>
        </w:rPr>
        <w:t>详见附件：劳动力安排计划及劳务分包情况表.docx</w:t>
      </w:r>
    </w:p>
    <w:p>
      <w:pPr>
        <w:pStyle w:val="null3"/>
        <w:ind w:firstLine="960"/>
      </w:pPr>
      <w:r>
        <w:rPr>
          <w:rFonts w:ascii="仿宋_GB2312" w:hAnsi="仿宋_GB2312" w:cs="仿宋_GB2312" w:eastAsia="仿宋_GB2312"/>
        </w:rPr>
        <w:t>详见附件：类似业绩.docx</w:t>
      </w:r>
    </w:p>
    <w:p>
      <w:pPr>
        <w:pStyle w:val="null3"/>
        <w:ind w:firstLine="960"/>
      </w:pPr>
      <w:r>
        <w:rPr>
          <w:rFonts w:ascii="仿宋_GB2312" w:hAnsi="仿宋_GB2312" w:cs="仿宋_GB2312" w:eastAsia="仿宋_GB2312"/>
        </w:rPr>
        <w:t>详见附件：拟派项目负责人.docx</w:t>
      </w:r>
    </w:p>
    <w:p>
      <w:pPr>
        <w:pStyle w:val="null3"/>
        <w:ind w:firstLine="960"/>
      </w:pPr>
      <w:r>
        <w:rPr>
          <w:rFonts w:ascii="仿宋_GB2312" w:hAnsi="仿宋_GB2312" w:cs="仿宋_GB2312" w:eastAsia="仿宋_GB2312"/>
        </w:rPr>
        <w:t>详见附件：确保安全生产技术组织措施.docx</w:t>
      </w:r>
    </w:p>
    <w:p>
      <w:pPr>
        <w:pStyle w:val="null3"/>
        <w:ind w:firstLine="960"/>
      </w:pPr>
      <w:r>
        <w:rPr>
          <w:rFonts w:ascii="仿宋_GB2312" w:hAnsi="仿宋_GB2312" w:cs="仿宋_GB2312" w:eastAsia="仿宋_GB2312"/>
        </w:rPr>
        <w:t>详见附件：确保工程质量的技术组织措施.docx</w:t>
      </w:r>
    </w:p>
    <w:p>
      <w:pPr>
        <w:pStyle w:val="null3"/>
        <w:ind w:firstLine="960"/>
      </w:pPr>
      <w:r>
        <w:rPr>
          <w:rFonts w:ascii="仿宋_GB2312" w:hAnsi="仿宋_GB2312" w:cs="仿宋_GB2312" w:eastAsia="仿宋_GB2312"/>
        </w:rPr>
        <w:t>详见附件：确保工期的技术组织措施.docx</w:t>
      </w:r>
    </w:p>
    <w:p>
      <w:pPr>
        <w:pStyle w:val="null3"/>
        <w:ind w:firstLine="960"/>
      </w:pPr>
      <w:r>
        <w:rPr>
          <w:rFonts w:ascii="仿宋_GB2312" w:hAnsi="仿宋_GB2312" w:cs="仿宋_GB2312" w:eastAsia="仿宋_GB2312"/>
        </w:rPr>
        <w:t>详见附件：确保环境保护组织措施.docx</w:t>
      </w:r>
    </w:p>
    <w:p>
      <w:pPr>
        <w:pStyle w:val="null3"/>
        <w:ind w:firstLine="960"/>
      </w:pPr>
      <w:r>
        <w:rPr>
          <w:rFonts w:ascii="仿宋_GB2312" w:hAnsi="仿宋_GB2312" w:cs="仿宋_GB2312" w:eastAsia="仿宋_GB2312"/>
        </w:rPr>
        <w:t>详见附件：确保文明施工的技术组织措施.docx</w:t>
      </w:r>
    </w:p>
    <w:p>
      <w:pPr>
        <w:pStyle w:val="null3"/>
        <w:ind w:firstLine="960"/>
      </w:pPr>
      <w:r>
        <w:rPr>
          <w:rFonts w:ascii="仿宋_GB2312" w:hAnsi="仿宋_GB2312" w:cs="仿宋_GB2312" w:eastAsia="仿宋_GB2312"/>
        </w:rPr>
        <w:t>详见附件：陕西省政府采购供应商拒绝政府采购领域商业贿赂承诺书.pdf</w:t>
      </w:r>
    </w:p>
    <w:p>
      <w:pPr>
        <w:pStyle w:val="null3"/>
        <w:ind w:firstLine="960"/>
      </w:pPr>
      <w:r>
        <w:rPr>
          <w:rFonts w:ascii="仿宋_GB2312" w:hAnsi="仿宋_GB2312" w:cs="仿宋_GB2312" w:eastAsia="仿宋_GB2312"/>
        </w:rPr>
        <w:t>详见附件：施工方案.docx</w:t>
      </w:r>
    </w:p>
    <w:p>
      <w:pPr>
        <w:pStyle w:val="null3"/>
        <w:ind w:firstLine="960"/>
      </w:pPr>
      <w:r>
        <w:rPr>
          <w:rFonts w:ascii="仿宋_GB2312" w:hAnsi="仿宋_GB2312" w:cs="仿宋_GB2312" w:eastAsia="仿宋_GB2312"/>
        </w:rPr>
        <w:t>详见附件：施工机械配备和材料投入计划.docx</w:t>
      </w:r>
    </w:p>
    <w:p>
      <w:pPr>
        <w:pStyle w:val="null3"/>
        <w:ind w:firstLine="960"/>
      </w:pPr>
      <w:r>
        <w:rPr>
          <w:rFonts w:ascii="仿宋_GB2312" w:hAnsi="仿宋_GB2312" w:cs="仿宋_GB2312" w:eastAsia="仿宋_GB2312"/>
        </w:rPr>
        <w:t>详见附件：施工总平面布置.docx</w:t>
      </w:r>
    </w:p>
    <w:p>
      <w:pPr>
        <w:pStyle w:val="null3"/>
        <w:ind w:firstLine="960"/>
      </w:pPr>
      <w:r>
        <w:rPr>
          <w:rFonts w:ascii="仿宋_GB2312" w:hAnsi="仿宋_GB2312" w:cs="仿宋_GB2312" w:eastAsia="仿宋_GB2312"/>
        </w:rPr>
        <w:t>详见附件：施工组织和项目管理机构.docx</w:t>
      </w:r>
    </w:p>
    <w:p>
      <w:pPr>
        <w:pStyle w:val="null3"/>
        <w:ind w:firstLine="960"/>
      </w:pPr>
      <w:r>
        <w:rPr>
          <w:rFonts w:ascii="仿宋_GB2312" w:hAnsi="仿宋_GB2312" w:cs="仿宋_GB2312" w:eastAsia="仿宋_GB2312"/>
        </w:rPr>
        <w:t>详见附件：现场组织机构情况.docx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详见附件：合同(1).docx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