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D2420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adjustRightInd w:val="0"/>
        <w:snapToGrid w:val="0"/>
        <w:spacing w:line="360" w:lineRule="auto"/>
        <w:jc w:val="center"/>
        <w:textAlignment w:val="auto"/>
        <w:rPr>
          <w:rFonts w:hint="eastAsia" w:ascii="仿宋_GB2312" w:hAnsi="仿宋_GB2312" w:eastAsia="仿宋_GB2312" w:cs="仿宋_GB2312"/>
          <w:b/>
          <w:bCs w:val="0"/>
          <w:sz w:val="44"/>
          <w:szCs w:val="44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 w:val="0"/>
          <w:sz w:val="44"/>
          <w:szCs w:val="44"/>
          <w:lang w:val="en-US" w:eastAsia="zh-CN"/>
        </w:rPr>
        <w:t>采购需求</w:t>
      </w:r>
    </w:p>
    <w:p w14:paraId="3472C9E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adjustRightInd w:val="0"/>
        <w:snapToGrid w:val="0"/>
        <w:spacing w:line="336" w:lineRule="auto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 w:val="0"/>
          <w:sz w:val="32"/>
          <w:szCs w:val="32"/>
          <w:lang w:val="en-US" w:eastAsia="zh-CN"/>
        </w:rPr>
      </w:pPr>
      <w:bookmarkStart w:id="1" w:name="_GoBack"/>
      <w:r>
        <w:rPr>
          <w:rFonts w:hint="eastAsia" w:ascii="仿宋_GB2312" w:hAnsi="仿宋_GB2312" w:eastAsia="仿宋_GB2312" w:cs="仿宋_GB2312"/>
          <w:b/>
          <w:bCs w:val="0"/>
          <w:sz w:val="32"/>
          <w:szCs w:val="32"/>
          <w:lang w:val="en-US" w:eastAsia="zh-CN"/>
        </w:rPr>
        <w:t>一、项目范围</w:t>
      </w:r>
    </w:p>
    <w:p w14:paraId="7CF6664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adjustRightInd w:val="0"/>
        <w:snapToGrid w:val="0"/>
        <w:spacing w:line="336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bCs/>
          <w:sz w:val="32"/>
          <w:szCs w:val="32"/>
        </w:rPr>
      </w:pPr>
      <w:bookmarkStart w:id="0" w:name="_Toc24894"/>
      <w:r>
        <w:rPr>
          <w:rFonts w:hint="eastAsia" w:ascii="仿宋_GB2312" w:hAnsi="仿宋_GB2312" w:eastAsia="仿宋_GB2312" w:cs="仿宋_GB2312"/>
          <w:bCs/>
          <w:sz w:val="32"/>
          <w:szCs w:val="32"/>
        </w:rPr>
        <w:t>为确保西安高新区云催报服务系统正常运行，202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>年8月1日-202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>7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>年7月31日系统运维服务工作内容如下：</w:t>
      </w:r>
    </w:p>
    <w:p w14:paraId="08BF166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adjustRightInd w:val="0"/>
        <w:snapToGrid w:val="0"/>
        <w:spacing w:line="336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>（一）企业催报</w:t>
      </w:r>
    </w:p>
    <w:p w14:paraId="1D0778B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adjustRightInd w:val="0"/>
        <w:snapToGrid w:val="0"/>
        <w:spacing w:line="336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>服务期内累计提供170万次催报服务。</w:t>
      </w:r>
    </w:p>
    <w:p w14:paraId="7AD18FF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adjustRightInd w:val="0"/>
        <w:snapToGrid w:val="0"/>
        <w:spacing w:line="336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（二）专职服务</w:t>
      </w:r>
    </w:p>
    <w:p w14:paraId="2DECD51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adjustRightInd w:val="0"/>
        <w:snapToGrid w:val="0"/>
        <w:spacing w:line="336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为西安高新区云催报服务系统安排催报业务专职服务人员一名，进行工作日全天候服务，提供一小时上门服务。专职人员服务内容包括：</w:t>
      </w:r>
    </w:p>
    <w:p w14:paraId="64B7DA1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adjustRightInd w:val="0"/>
        <w:snapToGrid w:val="0"/>
        <w:spacing w:line="336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1.协助后台管理人员、各专业解决技术问题。</w:t>
      </w:r>
    </w:p>
    <w:p w14:paraId="43E057C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adjustRightInd w:val="0"/>
        <w:snapToGrid w:val="0"/>
        <w:spacing w:line="336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2.技术支持高新区月报、年报催报与结果汇总及核查催报效果。</w:t>
      </w:r>
    </w:p>
    <w:p w14:paraId="6D2B0A2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adjustRightInd w:val="0"/>
        <w:snapToGrid w:val="0"/>
        <w:spacing w:line="336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3.对催报通讯录的动态管理。</w:t>
      </w:r>
    </w:p>
    <w:p w14:paraId="2288DCA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adjustRightInd w:val="0"/>
        <w:snapToGrid w:val="0"/>
        <w:spacing w:line="336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（三）运维服务</w:t>
      </w:r>
    </w:p>
    <w:p w14:paraId="433886B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adjustRightInd w:val="0"/>
        <w:snapToGrid w:val="0"/>
        <w:spacing w:line="336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系统提供技术运维服务包括：</w:t>
      </w:r>
    </w:p>
    <w:p w14:paraId="7455270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adjustRightInd w:val="0"/>
        <w:snapToGrid w:val="0"/>
        <w:spacing w:line="336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1.催报系统功能使用培训及技术指导</w:t>
      </w:r>
    </w:p>
    <w:p w14:paraId="2F21423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adjustRightInd w:val="0"/>
        <w:snapToGrid w:val="0"/>
        <w:spacing w:line="336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2.根据催报业务需求升级催报功能。</w:t>
      </w:r>
    </w:p>
    <w:bookmarkEnd w:id="0"/>
    <w:p w14:paraId="5F9D254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36" w:lineRule="auto"/>
        <w:ind w:firstLine="643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lang w:val="en-US" w:eastAsia="zh-CN"/>
        </w:rPr>
        <w:t>二、服务期限：2026年8月1日至2027年7月31日。</w:t>
      </w:r>
    </w:p>
    <w:p w14:paraId="70F395ED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36" w:lineRule="auto"/>
        <w:ind w:firstLine="643" w:firstLineChars="200"/>
        <w:textAlignment w:val="auto"/>
        <w:rPr>
          <w:rFonts w:hint="eastAsia"/>
          <w:b/>
          <w:bCs w:val="0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 w:val="0"/>
          <w:sz w:val="32"/>
          <w:szCs w:val="32"/>
          <w:lang w:val="en-US" w:eastAsia="zh-CN"/>
        </w:rPr>
        <w:t>三、</w:t>
      </w:r>
      <w:r>
        <w:rPr>
          <w:rFonts w:hint="eastAsia" w:ascii="仿宋_GB2312" w:hAnsi="仿宋_GB2312" w:eastAsia="仿宋_GB2312" w:cs="仿宋_GB2312"/>
          <w:b/>
          <w:bCs w:val="0"/>
          <w:sz w:val="32"/>
          <w:szCs w:val="32"/>
        </w:rPr>
        <w:t>服务地点</w:t>
      </w:r>
      <w:r>
        <w:rPr>
          <w:rFonts w:hint="eastAsia" w:ascii="仿宋_GB2312" w:hAnsi="仿宋_GB2312" w:eastAsia="仿宋_GB2312" w:cs="仿宋_GB2312"/>
          <w:b/>
          <w:bCs w:val="0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b/>
          <w:bCs w:val="0"/>
          <w:sz w:val="32"/>
          <w:szCs w:val="32"/>
          <w:highlight w:val="none"/>
          <w:lang w:eastAsia="zh-CN"/>
        </w:rPr>
        <w:t>西安高新区范围内，具体以</w:t>
      </w:r>
      <w:r>
        <w:rPr>
          <w:rFonts w:hint="eastAsia" w:ascii="仿宋_GB2312" w:hAnsi="仿宋_GB2312" w:eastAsia="仿宋_GB2312" w:cs="仿宋_GB2312"/>
          <w:b/>
          <w:bCs w:val="0"/>
          <w:sz w:val="32"/>
          <w:szCs w:val="32"/>
          <w:highlight w:val="none"/>
          <w:lang w:val="en-US" w:eastAsia="zh-CN"/>
        </w:rPr>
        <w:t>采购人</w:t>
      </w:r>
      <w:r>
        <w:rPr>
          <w:rFonts w:hint="eastAsia" w:ascii="仿宋_GB2312" w:hAnsi="仿宋_GB2312" w:eastAsia="仿宋_GB2312" w:cs="仿宋_GB2312"/>
          <w:b/>
          <w:bCs w:val="0"/>
          <w:sz w:val="32"/>
          <w:szCs w:val="32"/>
          <w:highlight w:val="none"/>
        </w:rPr>
        <w:t>指定地点</w:t>
      </w:r>
      <w:r>
        <w:rPr>
          <w:rFonts w:hint="eastAsia" w:ascii="仿宋_GB2312" w:hAnsi="仿宋_GB2312" w:eastAsia="仿宋_GB2312" w:cs="仿宋_GB2312"/>
          <w:b/>
          <w:bCs w:val="0"/>
          <w:sz w:val="32"/>
          <w:szCs w:val="32"/>
          <w:highlight w:val="none"/>
          <w:lang w:eastAsia="zh-CN"/>
        </w:rPr>
        <w:t>为准</w:t>
      </w:r>
      <w:r>
        <w:rPr>
          <w:rFonts w:hint="eastAsia" w:ascii="仿宋_GB2312" w:hAnsi="仿宋_GB2312" w:eastAsia="仿宋_GB2312" w:cs="仿宋_GB2312"/>
          <w:b/>
          <w:bCs w:val="0"/>
          <w:sz w:val="32"/>
          <w:szCs w:val="32"/>
          <w:highlight w:val="none"/>
        </w:rPr>
        <w:t>。</w:t>
      </w:r>
    </w:p>
    <w:p w14:paraId="79F0C12D">
      <w:pPr>
        <w:pStyle w:val="14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center" w:pos="4140"/>
          <w:tab w:val="right" w:pos="8300"/>
          <w:tab w:val="clear" w:pos="4153"/>
          <w:tab w:val="clear" w:pos="8306"/>
        </w:tabs>
        <w:kinsoku/>
        <w:wordWrap/>
        <w:overflowPunct/>
        <w:topLinePunct w:val="0"/>
        <w:autoSpaceDE/>
        <w:autoSpaceDN/>
        <w:bidi w:val="0"/>
        <w:snapToGrid w:val="0"/>
        <w:spacing w:line="336" w:lineRule="auto"/>
        <w:ind w:leftChars="0" w:firstLine="643" w:firstLineChars="200"/>
        <w:textAlignment w:val="auto"/>
        <w:rPr>
          <w:rFonts w:hint="default" w:ascii="仿宋_GB2312" w:hAnsi="仿宋_GB2312" w:eastAsia="仿宋_GB2312" w:cs="仿宋_GB2312"/>
          <w:b/>
          <w:bCs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kern w:val="2"/>
          <w:sz w:val="32"/>
          <w:szCs w:val="32"/>
          <w:highlight w:val="none"/>
          <w:lang w:val="en-US" w:eastAsia="zh-CN" w:bidi="ar-SA"/>
        </w:rPr>
        <w:t>四、本项目采购预算：230000.00元，最高限价：230000.00元。</w:t>
      </w:r>
    </w:p>
    <w:bookmarkEnd w:id="1"/>
    <w:p w14:paraId="1DD6DB8A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36" w:lineRule="auto"/>
        <w:ind w:firstLine="420" w:firstLineChars="200"/>
        <w:textAlignment w:val="auto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E31136D"/>
    <w:multiLevelType w:val="multilevel"/>
    <w:tmpl w:val="8E31136D"/>
    <w:lvl w:ilvl="0" w:tentative="0">
      <w:start w:val="1"/>
      <w:numFmt w:val="chineseCounting"/>
      <w:pStyle w:val="3"/>
      <w:suff w:val="nothing"/>
      <w:lvlText w:val="%1、"/>
      <w:lvlJc w:val="left"/>
      <w:pPr>
        <w:ind w:left="0" w:firstLine="0"/>
      </w:pPr>
      <w:rPr>
        <w:rFonts w:hint="eastAsia"/>
      </w:rPr>
    </w:lvl>
    <w:lvl w:ilvl="1" w:tentative="0">
      <w:start w:val="1"/>
      <w:numFmt w:val="chineseCounting"/>
      <w:pStyle w:val="4"/>
      <w:suff w:val="nothing"/>
      <w:lvlText w:val="（%2）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pStyle w:val="5"/>
      <w:suff w:val="nothing"/>
      <w:lvlText w:val="%3．"/>
      <w:lvlJc w:val="left"/>
      <w:pPr>
        <w:ind w:left="0" w:firstLine="400"/>
      </w:pPr>
      <w:rPr>
        <w:rFonts w:hint="eastAsia"/>
      </w:rPr>
    </w:lvl>
    <w:lvl w:ilvl="3" w:tentative="0">
      <w:start w:val="1"/>
      <w:numFmt w:val="decimal"/>
      <w:pStyle w:val="6"/>
      <w:suff w:val="nothing"/>
      <w:lvlText w:val="（%4）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EnclosedCircleChinese"/>
      <w:pStyle w:val="7"/>
      <w:suff w:val="nothing"/>
      <w:lvlText w:val="%5"/>
      <w:lvlJc w:val="left"/>
      <w:pPr>
        <w:ind w:left="0" w:firstLine="402"/>
      </w:pPr>
      <w:rPr>
        <w:rFonts w:hint="eastAsia"/>
      </w:rPr>
    </w:lvl>
    <w:lvl w:ilvl="5" w:tentative="0">
      <w:start w:val="1"/>
      <w:numFmt w:val="decimal"/>
      <w:pStyle w:val="8"/>
      <w:suff w:val="nothing"/>
      <w:lvlText w:val="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pStyle w:val="9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pStyle w:val="10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pStyle w:val="11"/>
      <w:suff w:val="nothing"/>
      <w:lvlText w:val="%9 "/>
      <w:lvlJc w:val="left"/>
      <w:pPr>
        <w:ind w:left="0" w:firstLine="402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E21263"/>
    <w:rsid w:val="02671768"/>
    <w:rsid w:val="094E5430"/>
    <w:rsid w:val="0D527254"/>
    <w:rsid w:val="0DCE5FBF"/>
    <w:rsid w:val="0EC20452"/>
    <w:rsid w:val="0EF3685E"/>
    <w:rsid w:val="100B5E29"/>
    <w:rsid w:val="124318AA"/>
    <w:rsid w:val="13623FB2"/>
    <w:rsid w:val="14E629C1"/>
    <w:rsid w:val="1A55661F"/>
    <w:rsid w:val="1C6A5B6A"/>
    <w:rsid w:val="23B95457"/>
    <w:rsid w:val="23C93BD9"/>
    <w:rsid w:val="26461511"/>
    <w:rsid w:val="27B801ED"/>
    <w:rsid w:val="2879370F"/>
    <w:rsid w:val="2D3576C1"/>
    <w:rsid w:val="2E3B56D4"/>
    <w:rsid w:val="2F6824F8"/>
    <w:rsid w:val="33226E62"/>
    <w:rsid w:val="3B3E6803"/>
    <w:rsid w:val="3E1E037D"/>
    <w:rsid w:val="3F3A2F54"/>
    <w:rsid w:val="43EF4B3E"/>
    <w:rsid w:val="44CD4E80"/>
    <w:rsid w:val="46D149CF"/>
    <w:rsid w:val="4DBD7A5B"/>
    <w:rsid w:val="4E6A1991"/>
    <w:rsid w:val="4E7E71EB"/>
    <w:rsid w:val="4E9E163B"/>
    <w:rsid w:val="50A540BB"/>
    <w:rsid w:val="510F482D"/>
    <w:rsid w:val="5519259D"/>
    <w:rsid w:val="58432EFF"/>
    <w:rsid w:val="597E4543"/>
    <w:rsid w:val="59EF71EF"/>
    <w:rsid w:val="5D681792"/>
    <w:rsid w:val="60F11A9E"/>
    <w:rsid w:val="60FD0443"/>
    <w:rsid w:val="62DE42A4"/>
    <w:rsid w:val="63BA086D"/>
    <w:rsid w:val="656C55A9"/>
    <w:rsid w:val="668E3850"/>
    <w:rsid w:val="66D90842"/>
    <w:rsid w:val="69F4756A"/>
    <w:rsid w:val="6D7B45E3"/>
    <w:rsid w:val="70113CA5"/>
    <w:rsid w:val="707772E8"/>
    <w:rsid w:val="76085468"/>
    <w:rsid w:val="78B52CDD"/>
    <w:rsid w:val="7A710351"/>
    <w:rsid w:val="7A7E3F4B"/>
    <w:rsid w:val="7D592A4D"/>
    <w:rsid w:val="7FC95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link w:val="17"/>
    <w:qFormat/>
    <w:uiPriority w:val="0"/>
    <w:pPr>
      <w:keepNext/>
      <w:numPr>
        <w:ilvl w:val="0"/>
        <w:numId w:val="1"/>
      </w:numPr>
      <w:spacing w:line="700" w:lineRule="exact"/>
      <w:jc w:val="center"/>
      <w:outlineLvl w:val="0"/>
    </w:pPr>
    <w:rPr>
      <w:rFonts w:ascii="黑体" w:hAnsi="黑体" w:eastAsia="宋体"/>
      <w:b/>
      <w:sz w:val="44"/>
    </w:rPr>
  </w:style>
  <w:style w:type="paragraph" w:styleId="4">
    <w:name w:val="heading 2"/>
    <w:basedOn w:val="1"/>
    <w:next w:val="1"/>
    <w:link w:val="18"/>
    <w:semiHidden/>
    <w:unhideWhenUsed/>
    <w:qFormat/>
    <w:uiPriority w:val="0"/>
    <w:pPr>
      <w:keepNext/>
      <w:numPr>
        <w:ilvl w:val="1"/>
        <w:numId w:val="1"/>
      </w:numPr>
      <w:spacing w:line="700" w:lineRule="exact"/>
      <w:outlineLvl w:val="1"/>
    </w:pPr>
    <w:rPr>
      <w:rFonts w:ascii="黑体" w:hAnsi="黑体" w:eastAsia="宋体"/>
      <w:b/>
      <w:sz w:val="44"/>
    </w:rPr>
  </w:style>
  <w:style w:type="paragraph" w:styleId="5">
    <w:name w:val="heading 3"/>
    <w:basedOn w:val="1"/>
    <w:next w:val="1"/>
    <w:semiHidden/>
    <w:unhideWhenUsed/>
    <w:qFormat/>
    <w:uiPriority w:val="0"/>
    <w:pPr>
      <w:keepNext/>
      <w:keepLines/>
      <w:numPr>
        <w:ilvl w:val="2"/>
        <w:numId w:val="1"/>
      </w:numPr>
      <w:snapToGrid w:val="0"/>
      <w:spacing w:before="260" w:beforeLines="0" w:beforeAutospacing="0" w:after="260" w:afterLines="0" w:afterAutospacing="0" w:line="300" w:lineRule="auto"/>
      <w:ind w:firstLine="403"/>
      <w:outlineLvl w:val="2"/>
    </w:pPr>
    <w:rPr>
      <w:rFonts w:eastAsia="仿宋_GB2312" w:asciiTheme="minorAscii" w:hAnsiTheme="minorAscii"/>
      <w:b/>
      <w:sz w:val="32"/>
    </w:rPr>
  </w:style>
  <w:style w:type="paragraph" w:styleId="6">
    <w:name w:val="heading 4"/>
    <w:basedOn w:val="1"/>
    <w:next w:val="1"/>
    <w:semiHidden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ind w:firstLine="402"/>
      <w:outlineLvl w:val="3"/>
    </w:pPr>
    <w:rPr>
      <w:rFonts w:ascii="Arial" w:hAnsi="Arial" w:eastAsia="黑体"/>
      <w:b/>
      <w:sz w:val="28"/>
    </w:rPr>
  </w:style>
  <w:style w:type="paragraph" w:styleId="7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firstLine="402"/>
      <w:outlineLvl w:val="4"/>
    </w:pPr>
    <w:rPr>
      <w:b/>
      <w:sz w:val="28"/>
    </w:rPr>
  </w:style>
  <w:style w:type="paragraph" w:styleId="8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firstLine="402"/>
      <w:outlineLvl w:val="5"/>
    </w:pPr>
    <w:rPr>
      <w:rFonts w:ascii="Arial" w:hAnsi="Arial" w:eastAsia="黑体"/>
      <w:b/>
      <w:sz w:val="24"/>
    </w:rPr>
  </w:style>
  <w:style w:type="paragraph" w:styleId="9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firstLine="402"/>
      <w:outlineLvl w:val="6"/>
    </w:pPr>
    <w:rPr>
      <w:b/>
      <w:sz w:val="24"/>
    </w:rPr>
  </w:style>
  <w:style w:type="paragraph" w:styleId="10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firstLine="402"/>
      <w:outlineLvl w:val="7"/>
    </w:pPr>
    <w:rPr>
      <w:rFonts w:ascii="Arial" w:hAnsi="Arial" w:eastAsia="黑体"/>
      <w:sz w:val="24"/>
    </w:rPr>
  </w:style>
  <w:style w:type="paragraph" w:styleId="11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firstLine="402"/>
      <w:outlineLvl w:val="8"/>
    </w:pPr>
    <w:rPr>
      <w:rFonts w:ascii="Arial" w:hAnsi="Arial" w:eastAsia="黑体"/>
      <w:sz w:val="21"/>
    </w:rPr>
  </w:style>
  <w:style w:type="character" w:default="1" w:styleId="16">
    <w:name w:val="Default Paragraph Font"/>
    <w:semiHidden/>
    <w:qFormat/>
    <w:uiPriority w:val="0"/>
  </w:style>
  <w:style w:type="table" w:default="1" w:styleId="1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itle"/>
    <w:basedOn w:val="1"/>
    <w:next w:val="1"/>
    <w:qFormat/>
    <w:uiPriority w:val="0"/>
    <w:pPr>
      <w:spacing w:before="120" w:beforeAutospacing="0" w:after="120" w:afterAutospacing="0"/>
      <w:jc w:val="center"/>
    </w:pPr>
    <w:rPr>
      <w:rFonts w:ascii="Calibri" w:hAnsi="Calibri" w:eastAsia="黑体" w:cs="Times New Roman"/>
      <w:b/>
      <w:sz w:val="32"/>
    </w:rPr>
  </w:style>
  <w:style w:type="paragraph" w:styleId="12">
    <w:name w:val="table of authorities"/>
    <w:next w:val="1"/>
    <w:qFormat/>
    <w:uiPriority w:val="0"/>
    <w:pPr>
      <w:widowControl w:val="0"/>
      <w:spacing w:line="360" w:lineRule="auto"/>
      <w:ind w:left="420"/>
      <w:jc w:val="both"/>
    </w:pPr>
    <w:rPr>
      <w:rFonts w:ascii="仿宋" w:hAnsi="仿宋" w:eastAsia="仿宋" w:cs="Times New Roman"/>
      <w:kern w:val="2"/>
      <w:sz w:val="32"/>
      <w:szCs w:val="24"/>
      <w:lang w:val="en-US" w:eastAsia="zh-CN" w:bidi="ar-SA"/>
    </w:rPr>
  </w:style>
  <w:style w:type="paragraph" w:styleId="13">
    <w:name w:val="Body Text"/>
    <w:basedOn w:val="1"/>
    <w:qFormat/>
    <w:uiPriority w:val="99"/>
    <w:pPr>
      <w:jc w:val="left"/>
    </w:pPr>
    <w:rPr>
      <w:kern w:val="0"/>
    </w:rPr>
  </w:style>
  <w:style w:type="paragraph" w:styleId="14">
    <w:name w:val="footer"/>
    <w:basedOn w:val="1"/>
    <w:next w:val="13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17">
    <w:name w:val="标题 1 Char"/>
    <w:link w:val="3"/>
    <w:qFormat/>
    <w:uiPriority w:val="0"/>
    <w:rPr>
      <w:rFonts w:ascii="黑体" w:hAnsi="黑体" w:eastAsia="宋体"/>
      <w:b/>
      <w:sz w:val="44"/>
    </w:rPr>
  </w:style>
  <w:style w:type="character" w:customStyle="1" w:styleId="18">
    <w:name w:val="标题 2 Char"/>
    <w:link w:val="4"/>
    <w:qFormat/>
    <w:uiPriority w:val="0"/>
    <w:rPr>
      <w:rFonts w:ascii="黑体" w:hAnsi="黑体" w:eastAsia="宋体"/>
      <w:b/>
      <w:sz w:val="44"/>
    </w:rPr>
  </w:style>
  <w:style w:type="paragraph" w:customStyle="1" w:styleId="19">
    <w:name w:val="正文缩进1"/>
    <w:basedOn w:val="1"/>
    <w:qFormat/>
    <w:uiPriority w:val="0"/>
    <w:pPr>
      <w:ind w:firstLine="200" w:firstLineChars="200"/>
    </w:pPr>
    <w:rPr>
      <w:rFonts w:eastAsia="楷体_GB231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329</Words>
  <Characters>367</Characters>
  <Lines>0</Lines>
  <Paragraphs>0</Paragraphs>
  <TotalTime>0</TotalTime>
  <ScaleCrop>false</ScaleCrop>
  <LinksUpToDate>false</LinksUpToDate>
  <CharactersWithSpaces>367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2024-03-15T06:24:00Z</dcterms:created>
  <dc:creator>DELL</dc:creator>
  <cp:lastModifiedBy>陕西华采招标有限公司</cp:lastModifiedBy>
  <cp:lastPrinted>2026-04-09T09:52:00Z</cp:lastPrinted>
  <dcterms:modified xsi:type="dcterms:W3CDTF">2026-06-22T11:02:12Z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A043A815EE52437C8E49A73148108307_13</vt:lpwstr>
  </property>
  <property fmtid="{D5CDD505-2E9C-101B-9397-08002B2CF9AE}" pid="4" name="KSOTemplateDocerSaveRecord">
    <vt:lpwstr>eyJoZGlkIjoiNzlkYjQxZmY4MWQ0ZWY2YTZhOTY1MTMyMDgzMmE0NmEiLCJ1c2VySWQiOiI5MzY1NjA0ODAifQ==</vt:lpwstr>
  </property>
</Properties>
</file>