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版本号：ZXGJ-ZB14-2026-002.1B120260724002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西安市碑林区2026年度老年人意外伤害保险项目(二次)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ZXGJ-ZB14-2026-002.1B1</w:t>
      </w:r>
      <w:r>
        <w:br/>
      </w:r>
      <w:r>
        <w:br/>
      </w:r>
      <w:r>
        <w:br/>
      </w:r>
    </w:p>
    <w:p>
      <w:pPr>
        <w:pStyle w:val="null3"/>
        <w:jc w:val="center"/>
        <w:outlineLvl w:val="2"/>
      </w:pPr>
      <w:r>
        <w:rPr>
          <w:rFonts w:ascii="仿宋_GB2312" w:hAnsi="仿宋_GB2312" w:cs="仿宋_GB2312" w:eastAsia="仿宋_GB2312"/>
          <w:sz w:val="28"/>
          <w:b/>
        </w:rPr>
        <w:t>西安市碑林区民政局（本级）</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西安市碑林区民政局（本级）</w:t>
      </w:r>
      <w:r>
        <w:rPr>
          <w:rFonts w:ascii="仿宋_GB2312" w:hAnsi="仿宋_GB2312" w:cs="仿宋_GB2312" w:eastAsia="仿宋_GB2312"/>
        </w:rPr>
        <w:t>委托，拟对</w:t>
      </w:r>
      <w:r>
        <w:rPr>
          <w:rFonts w:ascii="仿宋_GB2312" w:hAnsi="仿宋_GB2312" w:cs="仿宋_GB2312" w:eastAsia="仿宋_GB2312"/>
        </w:rPr>
        <w:t>西安市碑林区2026年度老年人意外伤害保险项目(二次)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ZXGJ-ZB14-2026-002.1B1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西安市碑林区2026年度老年人意外伤害保险项目(二次)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西安市民政局、西安市财政局、西安市退役军人事务局《关于做好老年人意外伤害保险工作的通知》（市民发〔2025〕126号）文件精神，推进基本养老服务均衡优质供给，增强老年人及其家庭的抗风险能力，对西安市碑林区户籍年满60周岁及以上的居家养老的老年人（享受城乡最低生活保障待遇人员、城乡特困供养人员、享受国家定期抚恤补助优抚对象及80周岁及以上居家养老的老年人），由政府出资给每位老人每年购买1份意外伤害保险。</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1、特定资格要求：供应商应提供行业主管部门颁发的《经营保险业务许可证》(同一保险机构只允许其本部或一家分支机构参与）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西安市碑林区民政局（本级）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西安市碑林区南院门27号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029-89625830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王超、同秀秀、王涛、白丹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029-81317379-606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西安市碑林区财政局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郝天峰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成交金额为基础，参照《国家计委关于印发招标代理服务收费管理暂行办法的通知》（计价格〔2002〕1980号）和国家发改委办公厅颁发的《关于招标代理服务收费有关问题的通知》（发改办价格〔2003〕857号）文件规定标准计算收取。代理服务费不足捌仟元按捌仟元收取。具体收费金额将在成交公告中公布。请将采购代理服务费汇至下列指定账户：开户名称：中昕国际项目管理有限公司；开户行：中国建设银行股份有限公司西安文景路支行；账号：61050178150000000278。注：此服务费应计入报价中，但不需要单独开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西安市碑林区民政局（本级）</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西安市碑林区民政局（本级）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西安市碑林区民政局（本级）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按照采购文件要求及有关规定的要求执行；在实施过程中，如果国家或有关部门颁布了新的技术标准或规范，则供应商应采用新的标准或规范进行实施。</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联系人：王超、同秀秀、王涛、白丹</w:t>
      </w:r>
    </w:p>
    <w:p>
      <w:pPr>
        <w:pStyle w:val="null3"/>
      </w:pPr>
      <w:r>
        <w:rPr>
          <w:rFonts w:ascii="仿宋_GB2312" w:hAnsi="仿宋_GB2312" w:cs="仿宋_GB2312" w:eastAsia="仿宋_GB2312"/>
        </w:rPr>
        <w:t>联系电话：029-81317379-606</w:t>
      </w:r>
    </w:p>
    <w:p>
      <w:pPr>
        <w:pStyle w:val="null3"/>
      </w:pPr>
      <w:r>
        <w:rPr>
          <w:rFonts w:ascii="仿宋_GB2312" w:hAnsi="仿宋_GB2312" w:cs="仿宋_GB2312" w:eastAsia="仿宋_GB2312"/>
        </w:rPr>
        <w:t>地址：西安市未央区西安经济技术开发区凤城十二路首创禧悦里25幢A座16层</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西安市民政局、西安市财政局、西安市退役军人事务局《关于做好老年人意外伤害保险工作的通知》（市民发〔2025〕126号）文件精神，推进基本养老服务均衡优质供给，增强老年人及其家庭的抗风险能力，对西安市碑林区户籍年满60周岁及以上的居家养老的老年人（享受城乡最低生活保障待遇人员、城乡特困供养人员、享受国家定期抚恤补助优抚对象及80周岁及以上居家养老的老年人），由政府出资给每位老人每年购买1份意外伤害保险。</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老年人意外伤害保险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标的名称：老年人意外伤害保险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000000"/>
              </w:rPr>
              <w:t>一、项目概况</w:t>
            </w:r>
          </w:p>
          <w:p>
            <w:pPr>
              <w:pStyle w:val="null3"/>
              <w:ind w:firstLine="420"/>
            </w:pPr>
            <w:r>
              <w:rPr>
                <w:rFonts w:ascii="仿宋_GB2312" w:hAnsi="仿宋_GB2312" w:cs="仿宋_GB2312" w:eastAsia="仿宋_GB2312"/>
                <w:sz w:val="21"/>
                <w:color w:val="000000"/>
              </w:rPr>
              <w:t>西安市碑林区</w:t>
            </w:r>
            <w:r>
              <w:rPr>
                <w:rFonts w:ascii="仿宋_GB2312" w:hAnsi="仿宋_GB2312" w:cs="仿宋_GB2312" w:eastAsia="仿宋_GB2312"/>
                <w:sz w:val="21"/>
                <w:color w:val="000000"/>
              </w:rPr>
              <w:t>2026年度老年人意外伤害保险项目（二次）</w:t>
            </w:r>
            <w:r>
              <w:rPr>
                <w:rFonts w:ascii="仿宋_GB2312" w:hAnsi="仿宋_GB2312" w:cs="仿宋_GB2312" w:eastAsia="仿宋_GB2312"/>
                <w:sz w:val="21"/>
                <w:color w:val="000000"/>
              </w:rPr>
              <w:t>。</w:t>
            </w:r>
          </w:p>
          <w:p>
            <w:pPr>
              <w:pStyle w:val="null3"/>
              <w:ind w:right="105" w:firstLine="420"/>
            </w:pPr>
            <w:r>
              <w:rPr>
                <w:rFonts w:ascii="仿宋_GB2312" w:hAnsi="仿宋_GB2312" w:cs="仿宋_GB2312" w:eastAsia="仿宋_GB2312"/>
                <w:sz w:val="21"/>
                <w:color w:val="000000"/>
              </w:rPr>
              <w:t>本项目所属行业为其他未列明行业（从业人员</w:t>
            </w:r>
            <w:r>
              <w:rPr>
                <w:rFonts w:ascii="仿宋_GB2312" w:hAnsi="仿宋_GB2312" w:cs="仿宋_GB2312" w:eastAsia="仿宋_GB2312"/>
                <w:sz w:val="21"/>
                <w:color w:val="000000"/>
              </w:rPr>
              <w:t>300人以下的为中小微型企业。其中，从业人员100人及以上的为中型企业；从业人员10人及以上的为小型企业；从业人员10人以下的为微型企业）。</w:t>
            </w:r>
          </w:p>
          <w:p>
            <w:pPr>
              <w:pStyle w:val="null3"/>
            </w:pPr>
            <w:r>
              <w:rPr>
                <w:rFonts w:ascii="仿宋_GB2312" w:hAnsi="仿宋_GB2312" w:cs="仿宋_GB2312" w:eastAsia="仿宋_GB2312"/>
                <w:sz w:val="21"/>
                <w:color w:val="000000"/>
              </w:rPr>
              <w:t>二、服务内容</w:t>
            </w:r>
          </w:p>
          <w:p>
            <w:pPr>
              <w:pStyle w:val="null3"/>
            </w:pPr>
            <w:r>
              <w:rPr>
                <w:rFonts w:ascii="仿宋_GB2312" w:hAnsi="仿宋_GB2312" w:cs="仿宋_GB2312" w:eastAsia="仿宋_GB2312"/>
                <w:sz w:val="21"/>
                <w:b/>
                <w:color w:val="000000"/>
              </w:rPr>
              <w:t>1.服务内容</w:t>
            </w:r>
          </w:p>
          <w:tbl>
            <w:tblPr>
              <w:tblInd w:type="dxa" w:w="240"/>
              <w:tblBorders>
                <w:top w:val="none" w:color="000000" w:sz="4"/>
                <w:left w:val="none" w:color="000000" w:sz="4"/>
                <w:bottom w:val="none" w:color="000000" w:sz="4"/>
                <w:right w:val="none" w:color="000000" w:sz="4"/>
                <w:insideH w:val="none"/>
                <w:insideV w:val="none"/>
              </w:tblBorders>
            </w:tblPr>
            <w:tblGrid>
              <w:gridCol w:w="218"/>
              <w:gridCol w:w="1401"/>
              <w:gridCol w:w="934"/>
            </w:tblGrid>
            <w:tr>
              <w:tc>
                <w:tcPr>
                  <w:tcW w:type="dxa" w:w="2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保险责任</w:t>
                  </w:r>
                </w:p>
              </w:tc>
              <w:tc>
                <w:tcPr>
                  <w:tcW w:type="dxa" w:w="140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参保人群</w:t>
                  </w:r>
                </w:p>
              </w:tc>
              <w:tc>
                <w:tcPr>
                  <w:tcW w:type="dxa" w:w="93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数量</w:t>
                  </w:r>
                </w:p>
              </w:tc>
            </w:tr>
            <w:tr>
              <w:tc>
                <w:tcPr>
                  <w:tcW w:type="dxa" w:w="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老年人意外伤害保险</w:t>
                  </w:r>
                </w:p>
              </w:tc>
              <w:tc>
                <w:tcPr>
                  <w:tcW w:type="dxa" w:w="140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西安市碑林区户籍年满</w:t>
                  </w:r>
                  <w:r>
                    <w:rPr>
                      <w:rFonts w:ascii="仿宋_GB2312" w:hAnsi="仿宋_GB2312" w:cs="仿宋_GB2312" w:eastAsia="仿宋_GB2312"/>
                      <w:sz w:val="21"/>
                      <w:color w:val="000000"/>
                    </w:rPr>
                    <w:t>60周岁及以上的居家养老的老年人（享受城乡最低生活保障待遇人员、城乡特困供养人员、享受国家定期抚恤补助优抚对象及80周岁以上居家养老的老年人），由政府出资给每位老人每年购买1份意外伤害保险。</w:t>
                  </w:r>
                </w:p>
              </w:tc>
              <w:tc>
                <w:tcPr>
                  <w:tcW w:type="dxa" w:w="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约为</w:t>
                  </w:r>
                  <w:r>
                    <w:rPr>
                      <w:rFonts w:ascii="仿宋_GB2312" w:hAnsi="仿宋_GB2312" w:cs="仿宋_GB2312" w:eastAsia="仿宋_GB2312"/>
                      <w:sz w:val="21"/>
                      <w:color w:val="000000"/>
                    </w:rPr>
                    <w:t>35000</w:t>
                  </w:r>
                  <w:r>
                    <w:rPr>
                      <w:rFonts w:ascii="仿宋_GB2312" w:hAnsi="仿宋_GB2312" w:cs="仿宋_GB2312" w:eastAsia="仿宋_GB2312"/>
                      <w:sz w:val="21"/>
                      <w:color w:val="000000"/>
                    </w:rPr>
                    <w:t>人</w:t>
                  </w:r>
                  <w:r>
                    <w:rPr>
                      <w:rFonts w:ascii="仿宋_GB2312" w:hAnsi="仿宋_GB2312" w:cs="仿宋_GB2312" w:eastAsia="仿宋_GB2312"/>
                      <w:sz w:val="21"/>
                      <w:color w:val="000000"/>
                    </w:rPr>
                    <w:t>，保险费标准为每人不超过</w:t>
                  </w:r>
                  <w:r>
                    <w:rPr>
                      <w:rFonts w:ascii="仿宋_GB2312" w:hAnsi="仿宋_GB2312" w:cs="仿宋_GB2312" w:eastAsia="仿宋_GB2312"/>
                      <w:sz w:val="21"/>
                      <w:color w:val="000000"/>
                    </w:rPr>
                    <w:t>20元/份/年。最终以实际参保人数为准。</w:t>
                  </w:r>
                </w:p>
              </w:tc>
            </w:tr>
          </w:tbl>
          <w:p>
            <w:pPr>
              <w:pStyle w:val="null3"/>
              <w:jc w:val="both"/>
            </w:pPr>
            <w:r>
              <w:rPr>
                <w:rFonts w:ascii="仿宋_GB2312" w:hAnsi="仿宋_GB2312" w:cs="仿宋_GB2312" w:eastAsia="仿宋_GB2312"/>
                <w:sz w:val="21"/>
                <w:b/>
                <w:color w:val="000000"/>
              </w:rPr>
              <w:t>2.保险责任</w:t>
            </w:r>
          </w:p>
          <w:tbl>
            <w:tblPr>
              <w:tblInd w:type="dxa" w:w="225"/>
              <w:tblBorders>
                <w:top w:val="none" w:color="000000" w:sz="4"/>
                <w:left w:val="none" w:color="000000" w:sz="4"/>
                <w:bottom w:val="none" w:color="000000" w:sz="4"/>
                <w:right w:val="none" w:color="000000" w:sz="4"/>
                <w:insideH w:val="none"/>
                <w:insideV w:val="none"/>
              </w:tblBorders>
            </w:tblPr>
            <w:tblGrid>
              <w:gridCol w:w="549"/>
              <w:gridCol w:w="715"/>
              <w:gridCol w:w="709"/>
              <w:gridCol w:w="580"/>
            </w:tblGrid>
            <w:tr>
              <w:tc>
                <w:tcPr>
                  <w:tcW w:type="dxa" w:w="5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保障范围</w:t>
                  </w:r>
                </w:p>
              </w:tc>
              <w:tc>
                <w:tcPr>
                  <w:tcW w:type="dxa" w:w="7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赔付标准</w:t>
                  </w:r>
                </w:p>
              </w:tc>
              <w:tc>
                <w:tcPr>
                  <w:tcW w:type="dxa" w:w="7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保险金额</w:t>
                  </w:r>
                </w:p>
              </w:tc>
              <w:tc>
                <w:tcPr>
                  <w:tcW w:type="dxa" w:w="5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保障期限</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意外身故保险金</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身故按保险金额一次性给付</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30000元</w:t>
                  </w:r>
                </w:p>
              </w:tc>
              <w:tc>
                <w:tcPr>
                  <w:tcW w:type="dxa" w:w="5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一年，乙方对被保险人自</w:t>
                  </w:r>
                  <w:r>
                    <w:rPr>
                      <w:rFonts w:ascii="仿宋_GB2312" w:hAnsi="仿宋_GB2312" w:cs="仿宋_GB2312" w:eastAsia="仿宋_GB2312"/>
                      <w:sz w:val="21"/>
                    </w:rPr>
                    <w:t>2026年1月1日零时起至2026年12月31日二十四时止，期间发生的属于保险责任的案件进行理赔。</w:t>
                  </w:r>
                </w:p>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意外伤害伤残保险金</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按伤残等级比例给付</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十级</w:t>
                  </w:r>
                  <w:r>
                    <w:rPr>
                      <w:rFonts w:ascii="仿宋_GB2312" w:hAnsi="仿宋_GB2312" w:cs="仿宋_GB2312" w:eastAsia="仿宋_GB2312"/>
                      <w:sz w:val="21"/>
                    </w:rPr>
                    <w:t>3000元、九级6000元、八级9000元、七级12000元、六级15000元、五级18000元、四级21000元、三级24000元、二级27000元、一级30000元</w:t>
                  </w:r>
                </w:p>
              </w:tc>
              <w:tc>
                <w:tcPr>
                  <w:tcW w:type="dxa" w:w="580"/>
                  <w:vMerge/>
                  <w:tcBorders>
                    <w:top w:val="none" w:color="000000" w:sz="4"/>
                    <w:left w:val="none" w:color="000000" w:sz="4"/>
                    <w:bottom w:val="single" w:color="000000" w:sz="4"/>
                    <w:right w:val="single" w:color="000000" w:sz="4"/>
                  </w:tcBorders>
                </w:tc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意外伤害医疗费用补助</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100元以下免赔；</w:t>
                  </w:r>
                </w:p>
                <w:p>
                  <w:pPr>
                    <w:pStyle w:val="null3"/>
                    <w:jc w:val="both"/>
                  </w:pPr>
                  <w:r>
                    <w:rPr>
                      <w:rFonts w:ascii="仿宋_GB2312" w:hAnsi="仿宋_GB2312" w:cs="仿宋_GB2312" w:eastAsia="仿宋_GB2312"/>
                      <w:sz w:val="21"/>
                    </w:rPr>
                    <w:t>100元以上给付比例100%，不超过限额。</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5000元</w:t>
                  </w:r>
                </w:p>
              </w:tc>
              <w:tc>
                <w:tcPr>
                  <w:tcW w:type="dxa" w:w="580"/>
                  <w:vMerge/>
                  <w:tcBorders>
                    <w:top w:val="none" w:color="000000" w:sz="4"/>
                    <w:left w:val="none" w:color="000000" w:sz="4"/>
                    <w:bottom w:val="single" w:color="000000" w:sz="4"/>
                    <w:right w:val="single" w:color="000000" w:sz="4"/>
                  </w:tcBorders>
                </w:tc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意外伤害住院补贴</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每天给付金额</w:t>
                  </w:r>
                  <w:r>
                    <w:rPr>
                      <w:rFonts w:ascii="仿宋_GB2312" w:hAnsi="仿宋_GB2312" w:cs="仿宋_GB2312" w:eastAsia="仿宋_GB2312"/>
                      <w:sz w:val="21"/>
                    </w:rPr>
                    <w:t>30元，单次以90天为限；累计最高给付180天。</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5400元</w:t>
                  </w:r>
                </w:p>
              </w:tc>
              <w:tc>
                <w:tcPr>
                  <w:tcW w:type="dxa" w:w="580"/>
                  <w:vMerge/>
                  <w:tcBorders>
                    <w:top w:val="none" w:color="000000" w:sz="4"/>
                    <w:left w:val="none" w:color="000000" w:sz="4"/>
                    <w:bottom w:val="single" w:color="000000" w:sz="4"/>
                    <w:right w:val="single" w:color="000000" w:sz="4"/>
                  </w:tcBorders>
                </w:tcPr>
                <w:p/>
              </w:tc>
            </w:tr>
          </w:tbl>
          <w:p>
            <w:pPr>
              <w:pStyle w:val="null3"/>
              <w:jc w:val="both"/>
            </w:pPr>
            <w:r>
              <w:rPr>
                <w:rFonts w:ascii="仿宋_GB2312" w:hAnsi="仿宋_GB2312" w:cs="仿宋_GB2312" w:eastAsia="仿宋_GB2312"/>
                <w:sz w:val="21"/>
                <w:b/>
                <w:color w:val="000000"/>
              </w:rPr>
              <w:t>3.理赔事项</w:t>
            </w:r>
          </w:p>
          <w:p>
            <w:pPr>
              <w:pStyle w:val="null3"/>
              <w:ind w:firstLine="210"/>
              <w:jc w:val="both"/>
            </w:pPr>
            <w:r>
              <w:rPr>
                <w:rFonts w:ascii="仿宋_GB2312" w:hAnsi="仿宋_GB2312" w:cs="仿宋_GB2312" w:eastAsia="仿宋_GB2312"/>
                <w:sz w:val="21"/>
                <w:color w:val="000000"/>
              </w:rPr>
              <w:t>3.1理赔流程</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1）老年人发生意外事故后，通过承保单位客服热线，通知承保单位；</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2）承保单位接到通知后，开展现场查勘和资料收集；</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3）承保单位完成理赔作业处理，并将赔款支付给受益人。</w:t>
            </w:r>
          </w:p>
          <w:p>
            <w:pPr>
              <w:pStyle w:val="null3"/>
              <w:ind w:firstLine="210"/>
              <w:jc w:val="both"/>
            </w:pPr>
            <w:r>
              <w:rPr>
                <w:rFonts w:ascii="仿宋_GB2312" w:hAnsi="仿宋_GB2312" w:cs="仿宋_GB2312" w:eastAsia="仿宋_GB2312"/>
                <w:sz w:val="21"/>
                <w:color w:val="000000"/>
              </w:rPr>
              <w:t>3.2理赔规则</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1）老年人发生意外伤害事件所产生的医疗费用，先由基本医疗保险按规定报销后，剩余部分有老年人意外伤害保险按照保险责任约定比例理赔；</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2）入住养老机构老年人发生意外伤害所产生的医疗费用理赔顺序为：基本医疗保险→养老机构综合责任保险→老年人意外伤害保险。</w:t>
            </w:r>
          </w:p>
          <w:p>
            <w:pPr>
              <w:pStyle w:val="null3"/>
              <w:jc w:val="both"/>
            </w:pPr>
            <w:r>
              <w:rPr>
                <w:rFonts w:ascii="仿宋_GB2312" w:hAnsi="仿宋_GB2312" w:cs="仿宋_GB2312" w:eastAsia="仿宋_GB2312"/>
                <w:sz w:val="21"/>
                <w:b/>
                <w:color w:val="000000"/>
              </w:rPr>
              <w:t>4.服务要求</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1）培训服务</w:t>
            </w:r>
          </w:p>
          <w:p>
            <w:pPr>
              <w:pStyle w:val="null3"/>
              <w:ind w:firstLine="420"/>
              <w:jc w:val="both"/>
            </w:pPr>
            <w:r>
              <w:rPr>
                <w:rFonts w:ascii="仿宋_GB2312" w:hAnsi="仿宋_GB2312" w:cs="仿宋_GB2312" w:eastAsia="仿宋_GB2312"/>
                <w:sz w:val="21"/>
                <w:color w:val="000000"/>
              </w:rPr>
              <w:t>在保险期限内，承保单位负责每年举办至少两次保险知识和风险管理培训，以提供被保险人相关人员的安全意识和防灾防损技能。培训时发生的场地费、住宿费、餐饮费及接待费用由承保单位承担。具体举办时间和地点，由承保单位及投保人共同协商确定。培训计划及内容：</w:t>
            </w:r>
          </w:p>
          <w:tbl>
            <w:tblPr>
              <w:tblInd w:type="dxa" w:w="240"/>
              <w:tblBorders>
                <w:top w:val="none" w:color="000000" w:sz="4"/>
                <w:left w:val="none" w:color="000000" w:sz="4"/>
                <w:bottom w:val="none" w:color="000000" w:sz="4"/>
                <w:right w:val="none" w:color="000000" w:sz="4"/>
                <w:insideH w:val="none"/>
                <w:insideV w:val="none"/>
              </w:tblBorders>
            </w:tblPr>
            <w:tblGrid>
              <w:gridCol w:w="489"/>
              <w:gridCol w:w="939"/>
              <w:gridCol w:w="1125"/>
            </w:tblGrid>
            <w:tr>
              <w:tc>
                <w:tcPr>
                  <w:tcW w:type="dxa" w:w="4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年度</w:t>
                  </w:r>
                </w:p>
              </w:tc>
              <w:tc>
                <w:tcPr>
                  <w:tcW w:type="dxa" w:w="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培训内容</w:t>
                  </w:r>
                </w:p>
              </w:tc>
              <w:tc>
                <w:tcPr>
                  <w:tcW w:type="dxa" w:w="1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具体时间</w:t>
                  </w:r>
                </w:p>
              </w:tc>
            </w:tr>
            <w:tr>
              <w:tc>
                <w:tcPr>
                  <w:tcW w:type="dxa" w:w="4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2026年度</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保险条款及合同讲解</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签订保险合同一周之内</w:t>
                  </w:r>
                </w:p>
              </w:tc>
            </w:tr>
            <w:tr>
              <w:tc>
                <w:tcPr>
                  <w:tcW w:type="dxa" w:w="489"/>
                  <w:vMerge/>
                  <w:tcBorders>
                    <w:top w:val="none" w:color="000000" w:sz="4"/>
                    <w:left w:val="single" w:color="000000" w:sz="4"/>
                    <w:bottom w:val="single" w:color="000000" w:sz="4"/>
                    <w:right w:val="single" w:color="000000" w:sz="4"/>
                  </w:tcBorders>
                </w:tcP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索赔流程及要点介绍</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签订保险合同</w:t>
                  </w:r>
                  <w:r>
                    <w:rPr>
                      <w:rFonts w:ascii="仿宋_GB2312" w:hAnsi="仿宋_GB2312" w:cs="仿宋_GB2312" w:eastAsia="仿宋_GB2312"/>
                      <w:sz w:val="21"/>
                    </w:rPr>
                    <w:t>3个月之内</w:t>
                  </w:r>
                </w:p>
              </w:tc>
            </w:tr>
            <w:tr>
              <w:tc>
                <w:tcPr>
                  <w:tcW w:type="dxa" w:w="489"/>
                  <w:vMerge/>
                  <w:tcBorders>
                    <w:top w:val="none" w:color="000000" w:sz="4"/>
                    <w:left w:val="single" w:color="000000" w:sz="4"/>
                    <w:bottom w:val="single" w:color="000000" w:sz="4"/>
                    <w:right w:val="single" w:color="000000" w:sz="4"/>
                  </w:tcBorders>
                </w:tcP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风险防范及灾后自救</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签订保险合同半年之内</w:t>
                  </w:r>
                </w:p>
              </w:tc>
            </w:tr>
          </w:tbl>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2）组织实施回访服务</w:t>
            </w:r>
          </w:p>
          <w:p>
            <w:pPr>
              <w:pStyle w:val="null3"/>
              <w:ind w:firstLine="420"/>
              <w:jc w:val="both"/>
            </w:pPr>
            <w:r>
              <w:rPr>
                <w:rFonts w:ascii="仿宋_GB2312" w:hAnsi="仿宋_GB2312" w:cs="仿宋_GB2312" w:eastAsia="仿宋_GB2312"/>
                <w:sz w:val="21"/>
                <w:color w:val="000000"/>
              </w:rPr>
              <w:t>在保单有效期内，由承保单位负责组织项目小组定期以电话沟通、登门回访或慰问走访等多种灵活形式收集客户反馈意见。</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3）建立联席会议制度</w:t>
            </w:r>
          </w:p>
          <w:p>
            <w:pPr>
              <w:pStyle w:val="null3"/>
              <w:ind w:firstLine="420"/>
              <w:jc w:val="both"/>
            </w:pPr>
            <w:r>
              <w:rPr>
                <w:rFonts w:ascii="仿宋_GB2312" w:hAnsi="仿宋_GB2312" w:cs="仿宋_GB2312" w:eastAsia="仿宋_GB2312"/>
                <w:sz w:val="21"/>
                <w:color w:val="000000"/>
              </w:rPr>
              <w:t>承保单位负责每半年联合组织一次由承保公司、有关被保险人代表和民政相关领导参加的联席会议</w:t>
            </w:r>
            <w:r>
              <w:rPr>
                <w:rFonts w:ascii="仿宋_GB2312" w:hAnsi="仿宋_GB2312" w:cs="仿宋_GB2312" w:eastAsia="仿宋_GB2312"/>
                <w:sz w:val="21"/>
                <w:color w:val="000000"/>
              </w:rPr>
              <w:t>(费用由承保单位承担)，通报保险承保、理赔与其他服务情况，就有关问题进行沟通与协商。</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4）承保理赔报表</w:t>
            </w:r>
          </w:p>
          <w:p>
            <w:pPr>
              <w:pStyle w:val="null3"/>
              <w:ind w:firstLine="420"/>
              <w:jc w:val="both"/>
            </w:pPr>
            <w:r>
              <w:rPr>
                <w:rFonts w:ascii="仿宋_GB2312" w:hAnsi="仿宋_GB2312" w:cs="仿宋_GB2312" w:eastAsia="仿宋_GB2312"/>
                <w:sz w:val="21"/>
                <w:color w:val="000000"/>
              </w:rPr>
              <w:t>承保单位应当在每季度结束后的</w:t>
            </w:r>
            <w:r>
              <w:rPr>
                <w:rFonts w:ascii="仿宋_GB2312" w:hAnsi="仿宋_GB2312" w:cs="仿宋_GB2312" w:eastAsia="仿宋_GB2312"/>
                <w:sz w:val="21"/>
                <w:color w:val="000000"/>
              </w:rPr>
              <w:t>10个工作日内向民政局主管部门提交上季度保险承保和理赔报表(具体报表格式由民政局主管部门与承保单位共同商定)。</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5）重大自然灾害预警机制</w:t>
            </w:r>
          </w:p>
          <w:p>
            <w:pPr>
              <w:pStyle w:val="null3"/>
              <w:ind w:firstLine="420"/>
              <w:jc w:val="both"/>
            </w:pPr>
            <w:r>
              <w:rPr>
                <w:rFonts w:ascii="仿宋_GB2312" w:hAnsi="仿宋_GB2312" w:cs="仿宋_GB2312" w:eastAsia="仿宋_GB2312"/>
                <w:sz w:val="21"/>
                <w:color w:val="000000"/>
              </w:rPr>
              <w:t>承保单位应主动向客户提供具备重大自然灾害预警信息，即在台（暴）风、暴雨、大雾、大雪、高温等恶劣天气来临前</w:t>
            </w:r>
            <w:r>
              <w:rPr>
                <w:rFonts w:ascii="仿宋_GB2312" w:hAnsi="仿宋_GB2312" w:cs="仿宋_GB2312" w:eastAsia="仿宋_GB2312"/>
                <w:sz w:val="21"/>
                <w:color w:val="000000"/>
              </w:rPr>
              <w:t>48小时，自动向VIP客户发送灾害预警短信，提醒客户做好防损工作。对于可能出现的重大气象情况，承保单位客服人员立即通过后援中心的短信服务平台将预警信息第一时间发送到客户手中。短信内容包括气象跟踪实时信息、灾害前的防范措施、灾害中的应急措施和灾后的紧急抢救措施和相关注意事项。在向客户发送重大自然灾害预警短信的同时，承保单位内部将立即启动应急预案，按照应急预案组成应急指挥中心，统一调度协调，组成重大灾害调度小组、现场查勘小组、定损小组、核算小组、理赔小组、后勤保障小组等。</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6）第三方责任事故法律援助</w:t>
            </w:r>
          </w:p>
          <w:p>
            <w:pPr>
              <w:pStyle w:val="null3"/>
              <w:ind w:firstLine="420"/>
              <w:jc w:val="both"/>
            </w:pPr>
            <w:r>
              <w:rPr>
                <w:rFonts w:ascii="仿宋_GB2312" w:hAnsi="仿宋_GB2312" w:cs="仿宋_GB2312" w:eastAsia="仿宋_GB2312"/>
                <w:sz w:val="21"/>
                <w:color w:val="000000"/>
              </w:rPr>
              <w:t>对于因保险事故产生的第三者纠纷，如被保险人有需求，承保单位应在事故发生之初就及时介入调解处理，为被保险人提供处理建议，防止事件扩大，并提供无偿的法律咨询服务。</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承保单位宣传到位，利用多种方式宣传发动，让全社会充分认识老年人意外伤害保险是经济社会发展和人口老龄化发展的客观要求，充分发挥自身优势，利用网点覆盖广泛、服务队伍专业性强等特点，采取短信提醒、制发一人一张的承保明白卡、张贴宣传单、微信公众号等方式，借助各类媒体手段和宣传平台，面向全社会开展形式多样、内容丰富的宣传活动，提高社会各界对老年人意外伤害保险的认知度和关注度。</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8）服务保证</w:t>
            </w:r>
          </w:p>
          <w:p>
            <w:pPr>
              <w:pStyle w:val="null3"/>
              <w:ind w:firstLine="420"/>
              <w:jc w:val="both"/>
            </w:pPr>
            <w:r>
              <w:rPr>
                <w:rFonts w:ascii="仿宋_GB2312" w:hAnsi="仿宋_GB2312" w:cs="仿宋_GB2312" w:eastAsia="仿宋_GB2312"/>
                <w:sz w:val="21"/>
                <w:color w:val="000000"/>
              </w:rPr>
              <w:t>①制度保证</w:t>
            </w:r>
          </w:p>
          <w:p>
            <w:pPr>
              <w:pStyle w:val="null3"/>
              <w:ind w:firstLine="420"/>
              <w:jc w:val="both"/>
            </w:pPr>
            <w:r>
              <w:rPr>
                <w:rFonts w:ascii="仿宋_GB2312" w:hAnsi="仿宋_GB2312" w:cs="仿宋_GB2312" w:eastAsia="仿宋_GB2312"/>
                <w:sz w:val="21"/>
                <w:color w:val="000000"/>
              </w:rPr>
              <w:t>一旦中标成为承保人，承保单位将以红头文件或者工作通知书将服务计划和承保条件公布在内部网并邮件通知各分支机构，各分支机构按照文件及市政府关于老年人意外伤害保险项目相关要求与相关单位取得联络，以便开展保险服务工作。</w:t>
            </w:r>
          </w:p>
          <w:p>
            <w:pPr>
              <w:pStyle w:val="null3"/>
              <w:ind w:firstLine="420"/>
              <w:jc w:val="both"/>
            </w:pPr>
            <w:r>
              <w:rPr>
                <w:rFonts w:ascii="仿宋_GB2312" w:hAnsi="仿宋_GB2312" w:cs="仿宋_GB2312" w:eastAsia="仿宋_GB2312"/>
                <w:sz w:val="21"/>
                <w:color w:val="000000"/>
              </w:rPr>
              <w:t>②优秀的再保险保证</w:t>
            </w:r>
          </w:p>
          <w:p>
            <w:pPr>
              <w:pStyle w:val="null3"/>
              <w:ind w:firstLine="420"/>
              <w:jc w:val="both"/>
            </w:pPr>
            <w:r>
              <w:rPr>
                <w:rFonts w:ascii="仿宋_GB2312" w:hAnsi="仿宋_GB2312" w:cs="仿宋_GB2312" w:eastAsia="仿宋_GB2312"/>
                <w:sz w:val="21"/>
                <w:color w:val="000000"/>
              </w:rPr>
              <w:t>承保单位要积极与高标准的再保险公司合作，加强企业实力和承保能力。</w:t>
            </w:r>
          </w:p>
          <w:p>
            <w:pPr>
              <w:pStyle w:val="null3"/>
              <w:ind w:firstLine="420"/>
              <w:jc w:val="both"/>
            </w:pPr>
            <w:r>
              <w:rPr>
                <w:rFonts w:ascii="仿宋_GB2312" w:hAnsi="仿宋_GB2312" w:cs="仿宋_GB2312" w:eastAsia="仿宋_GB2312"/>
                <w:sz w:val="21"/>
                <w:color w:val="000000"/>
              </w:rPr>
              <w:t>③出色的网络服务平台</w:t>
            </w:r>
          </w:p>
          <w:p>
            <w:pPr>
              <w:pStyle w:val="null3"/>
              <w:ind w:firstLine="420"/>
              <w:jc w:val="both"/>
            </w:pPr>
            <w:r>
              <w:rPr>
                <w:rFonts w:ascii="仿宋_GB2312" w:hAnsi="仿宋_GB2312" w:cs="仿宋_GB2312" w:eastAsia="仿宋_GB2312"/>
                <w:sz w:val="21"/>
                <w:color w:val="000000"/>
              </w:rPr>
              <w:t>承保单位应具备功能强大的网络平台，可以为客户提供专业化的产品和服务。</w:t>
            </w:r>
          </w:p>
          <w:p>
            <w:pPr>
              <w:pStyle w:val="null3"/>
              <w:ind w:firstLine="420"/>
              <w:jc w:val="both"/>
            </w:pPr>
            <w:r>
              <w:rPr>
                <w:rFonts w:ascii="仿宋_GB2312" w:hAnsi="仿宋_GB2312" w:cs="仿宋_GB2312" w:eastAsia="仿宋_GB2312"/>
                <w:sz w:val="21"/>
                <w:color w:val="000000"/>
              </w:rPr>
              <w:t>④专业的服务团队</w:t>
            </w:r>
          </w:p>
          <w:p>
            <w:pPr>
              <w:pStyle w:val="null3"/>
              <w:ind w:firstLine="420"/>
              <w:jc w:val="both"/>
            </w:pPr>
            <w:r>
              <w:rPr>
                <w:rFonts w:ascii="仿宋_GB2312" w:hAnsi="仿宋_GB2312" w:cs="仿宋_GB2312" w:eastAsia="仿宋_GB2312"/>
                <w:sz w:val="21"/>
                <w:color w:val="000000"/>
              </w:rPr>
              <w:t>承保单位应设有</w:t>
            </w:r>
            <w:r>
              <w:rPr>
                <w:rFonts w:ascii="仿宋_GB2312" w:hAnsi="仿宋_GB2312" w:cs="仿宋_GB2312" w:eastAsia="仿宋_GB2312"/>
                <w:sz w:val="21"/>
                <w:color w:val="000000"/>
              </w:rPr>
              <w:t>24小时热线客户咨询服务、投诉举报电话，安排专人接听、记录、受理；本着“专业、稳定、热诚、差异”的原则，承保单位应为本项目按照最优等客户服务模式组建专属服务团队，构建与实际服务能力相适应的多级服务体系。</w:t>
            </w:r>
          </w:p>
          <w:p>
            <w:pPr>
              <w:pStyle w:val="null3"/>
              <w:ind w:firstLine="420"/>
              <w:jc w:val="both"/>
            </w:pPr>
            <w:r>
              <w:rPr>
                <w:rFonts w:ascii="仿宋_GB2312" w:hAnsi="仿宋_GB2312" w:cs="仿宋_GB2312" w:eastAsia="仿宋_GB2312"/>
                <w:sz w:val="21"/>
                <w:color w:val="000000"/>
              </w:rPr>
              <w:t>⑤监督和控制</w:t>
            </w:r>
          </w:p>
          <w:p>
            <w:pPr>
              <w:pStyle w:val="null3"/>
              <w:ind w:firstLine="420"/>
              <w:jc w:val="both"/>
            </w:pPr>
            <w:r>
              <w:rPr>
                <w:rFonts w:ascii="仿宋_GB2312" w:hAnsi="仿宋_GB2312" w:cs="仿宋_GB2312" w:eastAsia="仿宋_GB2312"/>
                <w:sz w:val="21"/>
                <w:color w:val="000000"/>
              </w:rPr>
              <w:t>保险服务的承诺如何落实在于对服务的跟踪及监督，承保单位应对各下属机构的保险服务建立跟踪监督机制，具体将从以下几个方面着手：</w:t>
            </w:r>
          </w:p>
          <w:p>
            <w:pPr>
              <w:pStyle w:val="null3"/>
              <w:ind w:firstLine="420"/>
              <w:jc w:val="both"/>
            </w:pPr>
            <w:r>
              <w:rPr>
                <w:rFonts w:ascii="仿宋_GB2312" w:hAnsi="仿宋_GB2312" w:cs="仿宋_GB2312" w:eastAsia="仿宋_GB2312"/>
                <w:sz w:val="21"/>
                <w:color w:val="000000"/>
              </w:rPr>
              <w:t>①日常跟踪及沟通：每月将与民政局相关部门沟通，了解下属机构的服务评价以及产生的相关问题；</w:t>
            </w:r>
          </w:p>
          <w:p>
            <w:pPr>
              <w:pStyle w:val="null3"/>
              <w:ind w:firstLine="420"/>
              <w:jc w:val="both"/>
            </w:pPr>
            <w:r>
              <w:rPr>
                <w:rFonts w:ascii="仿宋_GB2312" w:hAnsi="仿宋_GB2312" w:cs="仿宋_GB2312" w:eastAsia="仿宋_GB2312"/>
                <w:sz w:val="21"/>
                <w:color w:val="000000"/>
              </w:rPr>
              <w:t>②每季度向西安市老年人意外伤害保险主管单位发送《保险公司服务质量调查问卷》，了解承保单位及其下属企业的季度工作评价，以便发现问题、改进工作及提高服务水平；</w:t>
            </w:r>
          </w:p>
          <w:p>
            <w:pPr>
              <w:pStyle w:val="null3"/>
              <w:ind w:firstLine="420"/>
              <w:jc w:val="both"/>
            </w:pPr>
            <w:r>
              <w:rPr>
                <w:rFonts w:ascii="仿宋_GB2312" w:hAnsi="仿宋_GB2312" w:cs="仿宋_GB2312" w:eastAsia="仿宋_GB2312"/>
                <w:sz w:val="21"/>
                <w:color w:val="000000"/>
              </w:rPr>
              <w:t>③对于承保及理赔工作，承保单位通过强大的IT系统进行检测、跟进和监督，依托IT系统能保证提出准确的承保、理赔清单；</w:t>
            </w:r>
          </w:p>
          <w:p>
            <w:pPr>
              <w:pStyle w:val="null3"/>
              <w:ind w:firstLine="420"/>
              <w:jc w:val="both"/>
            </w:pPr>
            <w:r>
              <w:rPr>
                <w:rFonts w:ascii="仿宋_GB2312" w:hAnsi="仿宋_GB2312" w:cs="仿宋_GB2312" w:eastAsia="仿宋_GB2312"/>
                <w:sz w:val="21"/>
                <w:color w:val="000000"/>
              </w:rPr>
              <w:t>④客户联络电话中心应具备客户投诉渠道，有效对被保险人投诉事件进行统计和反馈；</w:t>
            </w:r>
          </w:p>
          <w:p>
            <w:pPr>
              <w:pStyle w:val="null3"/>
              <w:ind w:firstLine="420"/>
              <w:jc w:val="both"/>
            </w:pPr>
            <w:r>
              <w:rPr>
                <w:rFonts w:ascii="仿宋_GB2312" w:hAnsi="仿宋_GB2312" w:cs="仿宋_GB2312" w:eastAsia="仿宋_GB2312"/>
                <w:sz w:val="21"/>
                <w:color w:val="000000"/>
              </w:rPr>
              <w:t>⑤惩罚制度：承保单位有专门部门负责对机构经营、服务进行判定，根据问题严重程度有红、黄、蓝牌处罚制度。</w:t>
            </w:r>
          </w:p>
          <w:p>
            <w:pPr>
              <w:pStyle w:val="null3"/>
              <w:jc w:val="both"/>
            </w:pPr>
            <w:r>
              <w:rPr>
                <w:rFonts w:ascii="仿宋_GB2312" w:hAnsi="仿宋_GB2312" w:cs="仿宋_GB2312" w:eastAsia="仿宋_GB2312"/>
                <w:sz w:val="21"/>
                <w:b/>
                <w:color w:val="000000"/>
              </w:rPr>
              <w:t>5.支付保险缴费</w:t>
            </w:r>
          </w:p>
          <w:p>
            <w:pPr>
              <w:pStyle w:val="null3"/>
              <w:ind w:right="90" w:firstLine="670"/>
              <w:jc w:val="left"/>
            </w:pPr>
            <w:r>
              <w:rPr>
                <w:rFonts w:ascii="仿宋_GB2312" w:hAnsi="仿宋_GB2312" w:cs="仿宋_GB2312" w:eastAsia="仿宋_GB2312"/>
                <w:sz w:val="24"/>
                <w:color w:val="000000"/>
              </w:rPr>
              <w:t>“政府补贴人群”的保费，采取预付资金和据实结算相结合</w:t>
            </w:r>
            <w:r>
              <w:rPr>
                <w:rFonts w:ascii="仿宋_GB2312" w:hAnsi="仿宋_GB2312" w:cs="仿宋_GB2312" w:eastAsia="仿宋_GB2312"/>
                <w:sz w:val="24"/>
                <w:color w:val="000000"/>
              </w:rPr>
              <w:t>模式。</w:t>
            </w:r>
          </w:p>
          <w:p>
            <w:pPr>
              <w:pStyle w:val="null3"/>
              <w:ind w:right="75" w:firstLine="634"/>
              <w:jc w:val="left"/>
            </w:pPr>
            <w:r>
              <w:rPr>
                <w:rFonts w:ascii="仿宋_GB2312" w:hAnsi="仿宋_GB2312" w:cs="仿宋_GB2312" w:eastAsia="仿宋_GB2312"/>
                <w:sz w:val="24"/>
                <w:color w:val="000000"/>
              </w:rPr>
              <w:t>（</w:t>
            </w:r>
            <w:r>
              <w:rPr>
                <w:rFonts w:ascii="仿宋_GB2312" w:hAnsi="仿宋_GB2312" w:cs="仿宋_GB2312" w:eastAsia="仿宋_GB2312"/>
                <w:sz w:val="31"/>
                <w:color w:val="000000"/>
              </w:rPr>
              <w:t xml:space="preserve"> </w:t>
            </w:r>
            <w:r>
              <w:rPr>
                <w:rFonts w:ascii="仿宋_GB2312" w:hAnsi="仿宋_GB2312" w:cs="仿宋_GB2312" w:eastAsia="仿宋_GB2312"/>
                <w:sz w:val="24"/>
                <w:color w:val="000000"/>
              </w:rPr>
              <w:t>一）在签订承保协议后，</w:t>
            </w:r>
            <w:r>
              <w:rPr>
                <w:rFonts w:ascii="仿宋_GB2312" w:hAnsi="仿宋_GB2312" w:cs="仿宋_GB2312" w:eastAsia="仿宋_GB2312"/>
                <w:sz w:val="24"/>
                <w:color w:val="000000"/>
              </w:rPr>
              <w:t>由各区县</w:t>
            </w:r>
            <w:r>
              <w:rPr>
                <w:rFonts w:ascii="仿宋_GB2312" w:hAnsi="仿宋_GB2312" w:cs="仿宋_GB2312" w:eastAsia="仿宋_GB2312"/>
                <w:sz w:val="31"/>
                <w:color w:val="000000"/>
              </w:rPr>
              <w:t xml:space="preserve"> </w:t>
            </w:r>
            <w:r>
              <w:rPr>
                <w:rFonts w:ascii="仿宋_GB2312" w:hAnsi="仿宋_GB2312" w:cs="仿宋_GB2312" w:eastAsia="仿宋_GB2312"/>
                <w:sz w:val="24"/>
                <w:color w:val="000000"/>
              </w:rPr>
              <w:t>(开发区)民政部门将市</w:t>
            </w:r>
            <w:r>
              <w:rPr>
                <w:rFonts w:ascii="仿宋_GB2312" w:hAnsi="仿宋_GB2312" w:cs="仿宋_GB2312" w:eastAsia="仿宋_GB2312"/>
                <w:sz w:val="24"/>
                <w:color w:val="000000"/>
              </w:rPr>
              <w:t>级财政承担的补助资金和本级财政配套资金汇总，先向承保保险</w:t>
            </w:r>
            <w:r>
              <w:rPr>
                <w:rFonts w:ascii="仿宋_GB2312" w:hAnsi="仿宋_GB2312" w:cs="仿宋_GB2312" w:eastAsia="仿宋_GB2312"/>
                <w:sz w:val="24"/>
                <w:color w:val="000000"/>
              </w:rPr>
              <w:t>公司支付保险期全额保险费的</w:t>
            </w:r>
            <w:r>
              <w:rPr>
                <w:rFonts w:ascii="仿宋_GB2312" w:hAnsi="仿宋_GB2312" w:cs="仿宋_GB2312" w:eastAsia="仿宋_GB2312"/>
                <w:sz w:val="24"/>
                <w:color w:val="000000"/>
              </w:rPr>
              <w:t>50%；</w:t>
            </w:r>
          </w:p>
          <w:p>
            <w:pPr>
              <w:pStyle w:val="null3"/>
              <w:ind w:firstLine="631"/>
              <w:jc w:val="left"/>
            </w:pPr>
            <w:r>
              <w:rPr>
                <w:rFonts w:ascii="仿宋_GB2312" w:hAnsi="仿宋_GB2312" w:cs="仿宋_GB2312" w:eastAsia="仿宋_GB2312"/>
                <w:sz w:val="24"/>
                <w:color w:val="000000"/>
              </w:rPr>
              <w:t>（二）保险期结束后，根据当年理赔金额占保险费总额</w:t>
            </w:r>
            <w:r>
              <w:rPr>
                <w:rFonts w:ascii="仿宋_GB2312" w:hAnsi="仿宋_GB2312" w:cs="仿宋_GB2312" w:eastAsia="仿宋_GB2312"/>
                <w:sz w:val="24"/>
                <w:color w:val="000000"/>
              </w:rPr>
              <w:t>比例，</w:t>
            </w:r>
            <w:r>
              <w:rPr>
                <w:rFonts w:ascii="仿宋_GB2312" w:hAnsi="仿宋_GB2312" w:cs="仿宋_GB2312" w:eastAsia="仿宋_GB2312"/>
                <w:sz w:val="24"/>
                <w:color w:val="000000"/>
              </w:rPr>
              <w:t>确定保险费支付金额。</w:t>
            </w:r>
          </w:p>
          <w:p>
            <w:pPr>
              <w:pStyle w:val="null3"/>
              <w:ind w:left="30" w:right="75" w:firstLine="639"/>
              <w:jc w:val="left"/>
            </w:pPr>
            <w:r>
              <w:rPr>
                <w:rFonts w:ascii="仿宋_GB2312" w:hAnsi="仿宋_GB2312" w:cs="仿宋_GB2312" w:eastAsia="仿宋_GB2312"/>
                <w:sz w:val="24"/>
                <w:color w:val="000000"/>
              </w:rPr>
              <w:t>1.当年理赔金额占保险费总额比例</w:t>
            </w:r>
            <w:r>
              <w:rPr>
                <w:rFonts w:ascii="仿宋_GB2312" w:hAnsi="仿宋_GB2312" w:cs="仿宋_GB2312" w:eastAsia="仿宋_GB2312"/>
                <w:sz w:val="24"/>
                <w:color w:val="000000"/>
              </w:rPr>
              <w:t>≥80%时，全额支付保险</w:t>
            </w:r>
            <w:r>
              <w:rPr>
                <w:rFonts w:ascii="仿宋_GB2312" w:hAnsi="仿宋_GB2312" w:cs="仿宋_GB2312" w:eastAsia="仿宋_GB2312"/>
                <w:sz w:val="24"/>
                <w:color w:val="000000"/>
              </w:rPr>
              <w:t>费。</w:t>
            </w:r>
          </w:p>
          <w:p>
            <w:pPr>
              <w:pStyle w:val="null3"/>
              <w:ind w:left="30" w:right="75" w:firstLine="639"/>
              <w:jc w:val="left"/>
            </w:pPr>
            <w:r>
              <w:rPr>
                <w:rFonts w:ascii="仿宋_GB2312" w:hAnsi="仿宋_GB2312" w:cs="仿宋_GB2312" w:eastAsia="仿宋_GB2312"/>
                <w:sz w:val="24"/>
                <w:color w:val="000000"/>
              </w:rPr>
              <w:t>2.当年理赔金额占保险费总额比例&lt;80%时，按</w:t>
            </w:r>
            <w:r>
              <w:rPr>
                <w:rFonts w:ascii="仿宋_GB2312" w:hAnsi="仿宋_GB2312" w:cs="仿宋_GB2312" w:eastAsia="仿宋_GB2312"/>
                <w:sz w:val="24"/>
                <w:color w:val="000000"/>
              </w:rPr>
              <w:t>“理赔金</w:t>
            </w:r>
            <w:r>
              <w:rPr>
                <w:rFonts w:ascii="仿宋_GB2312" w:hAnsi="仿宋_GB2312" w:cs="仿宋_GB2312" w:eastAsia="仿宋_GB2312"/>
                <w:sz w:val="24"/>
                <w:color w:val="000000"/>
              </w:rPr>
              <w:t>额</w:t>
            </w:r>
            <w:r>
              <w:rPr>
                <w:rFonts w:ascii="仿宋_GB2312" w:hAnsi="仿宋_GB2312" w:cs="仿宋_GB2312" w:eastAsia="仿宋_GB2312"/>
                <w:sz w:val="24"/>
                <w:color w:val="000000"/>
              </w:rPr>
              <w:t>×</w:t>
            </w:r>
            <w:r>
              <w:rPr>
                <w:rFonts w:ascii="仿宋_GB2312" w:hAnsi="仿宋_GB2312" w:cs="仿宋_GB2312" w:eastAsia="仿宋_GB2312"/>
                <w:sz w:val="24"/>
                <w:color w:val="000000"/>
              </w:rPr>
              <w:t>1.2”支付。</w:t>
            </w:r>
          </w:p>
          <w:p>
            <w:pPr>
              <w:pStyle w:val="null3"/>
              <w:spacing w:before="180"/>
              <w:ind w:firstLine="673"/>
              <w:jc w:val="left"/>
            </w:pPr>
            <w:r>
              <w:rPr>
                <w:rFonts w:ascii="仿宋_GB2312" w:hAnsi="仿宋_GB2312" w:cs="仿宋_GB2312" w:eastAsia="仿宋_GB2312"/>
                <w:sz w:val="24"/>
                <w:color w:val="000000"/>
              </w:rPr>
              <w:t>3.当年“理赔金额</w:t>
            </w:r>
            <w:r>
              <w:rPr>
                <w:rFonts w:ascii="仿宋_GB2312" w:hAnsi="仿宋_GB2312" w:cs="仿宋_GB2312" w:eastAsia="仿宋_GB2312"/>
                <w:sz w:val="24"/>
                <w:color w:val="000000"/>
              </w:rPr>
              <w:t>×</w:t>
            </w:r>
            <w:r>
              <w:rPr>
                <w:rFonts w:ascii="仿宋_GB2312" w:hAnsi="仿宋_GB2312" w:cs="仿宋_GB2312" w:eastAsia="仿宋_GB2312"/>
                <w:sz w:val="24"/>
                <w:color w:val="000000"/>
              </w:rPr>
              <w:t>1.2”不足全额保险费的</w:t>
            </w:r>
            <w:r>
              <w:rPr>
                <w:rFonts w:ascii="仿宋_GB2312" w:hAnsi="仿宋_GB2312" w:cs="仿宋_GB2312" w:eastAsia="仿宋_GB2312"/>
                <w:sz w:val="24"/>
                <w:color w:val="000000"/>
              </w:rPr>
              <w:t>50%的部分资金，</w:t>
            </w:r>
            <w:r>
              <w:rPr>
                <w:rFonts w:ascii="仿宋_GB2312" w:hAnsi="仿宋_GB2312" w:cs="仿宋_GB2312" w:eastAsia="仿宋_GB2312"/>
                <w:sz w:val="24"/>
                <w:color w:val="000000"/>
              </w:rPr>
              <w:t>可定向用于涉老项目支出，如用于老年人意外伤害保险政策宣</w:t>
            </w:r>
            <w:r>
              <w:rPr>
                <w:rFonts w:ascii="仿宋_GB2312" w:hAnsi="仿宋_GB2312" w:cs="仿宋_GB2312" w:eastAsia="仿宋_GB2312"/>
                <w:sz w:val="24"/>
                <w:color w:val="000000"/>
              </w:rPr>
              <w:t>传、老年人慰问、探访关爱等支出，具体项目由各区县（开发区）</w:t>
            </w:r>
            <w:r>
              <w:rPr>
                <w:rFonts w:ascii="仿宋_GB2312" w:hAnsi="仿宋_GB2312" w:cs="仿宋_GB2312" w:eastAsia="仿宋_GB2312"/>
                <w:sz w:val="24"/>
                <w:color w:val="000000"/>
              </w:rPr>
              <w:t>民政部门根据养老实际需求由承保保险公司组织实施，并履行好</w:t>
            </w:r>
            <w:r>
              <w:rPr>
                <w:rFonts w:ascii="仿宋_GB2312" w:hAnsi="仿宋_GB2312" w:cs="仿宋_GB2312" w:eastAsia="仿宋_GB2312"/>
                <w:sz w:val="24"/>
                <w:color w:val="000000"/>
              </w:rPr>
              <w:t>监管责任。</w:t>
            </w:r>
          </w:p>
          <w:p>
            <w:pPr>
              <w:pStyle w:val="null3"/>
              <w:ind w:left="15" w:right="150" w:firstLine="648"/>
              <w:jc w:val="left"/>
            </w:pPr>
            <w:r>
              <w:rPr>
                <w:rFonts w:ascii="仿宋_GB2312" w:hAnsi="仿宋_GB2312" w:cs="仿宋_GB2312" w:eastAsia="仿宋_GB2312"/>
                <w:sz w:val="24"/>
                <w:color w:val="000000"/>
              </w:rPr>
              <w:t>4.当年实付保费与应付保费之间差额部分,保险公司自行承</w:t>
            </w:r>
            <w:r>
              <w:rPr>
                <w:rFonts w:ascii="仿宋_GB2312" w:hAnsi="仿宋_GB2312" w:cs="仿宋_GB2312" w:eastAsia="仿宋_GB2312"/>
                <w:sz w:val="24"/>
                <w:color w:val="000000"/>
              </w:rPr>
              <w:t>担处理。</w:t>
            </w:r>
          </w:p>
          <w:p>
            <w:pPr>
              <w:pStyle w:val="null3"/>
              <w:ind w:left="15" w:right="150" w:firstLine="648"/>
              <w:jc w:val="left"/>
            </w:pPr>
            <w:r>
              <w:rPr>
                <w:rFonts w:ascii="仿宋_GB2312" w:hAnsi="仿宋_GB2312" w:cs="仿宋_GB2312" w:eastAsia="仿宋_GB2312"/>
                <w:sz w:val="21"/>
                <w:b/>
                <w:color w:val="000000"/>
              </w:rPr>
              <w:t>注：因系统无法完整录入支付方式，故支付方式按</w:t>
            </w:r>
            <w:r>
              <w:rPr>
                <w:rFonts w:ascii="仿宋_GB2312" w:hAnsi="仿宋_GB2312" w:cs="仿宋_GB2312" w:eastAsia="仿宋_GB2312"/>
                <w:sz w:val="21"/>
                <w:b/>
                <w:color w:val="000000"/>
              </w:rPr>
              <w:t>“5.支付保险缴费”执行。</w:t>
            </w:r>
          </w:p>
          <w:p>
            <w:pPr>
              <w:pStyle w:val="null3"/>
              <w:ind w:left="15" w:right="150" w:firstLine="648"/>
              <w:jc w:val="left"/>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按采购人要求完成项目服务内容及项目交付，并达到采购人验收要求，达到国家现行法律法规及行业要求合格标准。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保险期结束后，根据当年理赔金额占保险费总额比例，理赔金额占比≥80%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一、成交供应商在领取成交通知书时提供纸质版响应文件2套，应通过专用制作软件直接打印，确保与电子投标文件保持 一致，不允许修改和补充。提交地点：西安市未央区西安经济技术开发区凤城十二路首创禧悦里25幢A座16层。二、供应商的磋商报价是供应商响应磋商项目要求的全部工作内容的价格体现，包括供应商完成本项目所需的直接费、间接费、利润、税金及其它相关的一切费用。包括但不限于：人工费、设备费、管理费、验收费、采购代理服务费、利润和税金等全部费用。在提供服务的过程中的任何遗漏，均由成交供应商免费提供，采购人将不再支付任何费用。 三、磋商有效期 1、出现特殊情况需要延长磋商有效期的，采购代理机构或采购人可于磋商有效期满之前，以书面形式通知所有供应商延长磋商有效期。供应商应予书面答复，同意延长的，应相应延长其磋商保证金有效期，但不得要求或被允许修改其响应文件；供应商拒绝延长的，其响应文件失效，递交磋商保证金的，供应商有权收回其磋商保证金。 2.在磋商有效期内，供应商撤销响应文件的，应承担磋商文件和法律规定的责任。 3.成交供应商的磋商有效期自动延长至合同终止为止。 四、合格供应商少于3家的处理 1.评审过程中，若出现合格供应商只有2家时，符合《政府采购竞争性磋商采购方式管理暂行办法》第3条第4项情形的，或者本项目为政府购买服务指导性目录中的，可以继续进行；只有1家时，采购人应依法重新组织采购活动。 2.评审过程中，除符合第1条规定情形外，若出现合格供应商少于3家时，采购人应依法重新组织采购活动。 五、分公司独立参与磋商时，不能使用总公司的资质或业绩；总公司单独参与磋商时，除总公司所投产品为分公司生产的产品外，不能使用分公司的资质或业绩。总公司授权分公司或分支机构参与磋商，可以使用总公司的资质或业绩。 六、恶意质疑、投诉的法律后果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七、签名是指手写签名或者加盖姓名章(含电子签名或电子印章)，盖章是指加盖单位印章。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（1）供应商的营业执照等证明文件，自然人的身份证明； (2) 法定代表人（单位负责人）参加磋商的，提供本人身份证复印件；法定代表（单位负责人）人授权他人参加磋商的，提供法定代表人（单位负责人）委托授权书并出示被授权代表的身份证复印件； （3）供应商2025年6月至今已缴纳任意时段任意税种纳税凭证或税务机关开具的完税证明（个人所得税除外），依法免税的应提供相关文件证明； （4）供应商2025年6月至今已缴存的任意时段的社会保障资金缴存单据或社保机构开具的社会保险参保缴费情况证明，依法不需要缴纳社会保障资金的供应商应提供相关文件证明； （5）具有履行合同所必需的设备和专业技术能力的承诺；（6）参加本次采购前3年内，在经营活动中没有重大违法记录的书面声明。（7）供应商不得被列入“信用中国”网站(https://www.creditchina.gov.cn/ )“失信被执行人”（页面跳转至“中国执行信息公开网”http://zxgk.court.gov.cn/shixin/）、“重大税收违法失信主体”；不得处于中国政府采购网(http://www.ccgp.gov.cn/)“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资格证明部分.docx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供应商2024年度或2025年度经审计的财务会计报告或其提交响应文件截止时间前3个月内基本账户开户银行出具的资信证明。（以上形式的资料提供任何一种即可） 要求： （1）供应商是企业法人的，应提供2024或2025全年度经审计的供应商财务报告，包括 “四表一注”即《资产负债表》《利润表》《现金流量表》《所有者权益变动表》及其附注，或者提交响应文件截止时间前3个月内基本账户开户银行出具的资信证明（附基本存款账户信息）； （2）供应商是执行《小企业会计准则》的小微企业的，应提供2024或2025全年度经审计的供应商财务报告，至少包括 《资产负债表》《利润表》《现金流量表》及其附注，或者提交响应文件截止时间前3个月内基本账户开户银行出具的资信证明（附基本存款账户信息）； （3）供应商是执行《事业单位会计准则》的事业单位法人的，应提供2024或2025全年度经审计的供应商财务报告，至少包括《资产负债表》《收入支出表或者收入费用表》《财政补助收入支出表》及其附注，或者提交响应文件截止时间前3个月内基本账户开户银行出具的资信证明（附基本存款账户信息）； （4）部分其他组织和自然人，提供提交响应文件截止时间前3个月内基本账户开户银行出具的资信证明（附账户信息）； （5）供应商是民办非企业单位的，应提供2024或2025全年度经审计的供应商财务报告，包括《资产负债表》《业务活动表》《现金流量表》及其附注或者提交响应文件截止时间前3个月内基本账户开户银行出具的资信证明（附账户信息）； （6）供应商成立不到1年（至提交响应文件截止时间）的，提供成立后任意时段的资产负债表，或提交响应文件截止时间前3个月内基本账户开户银行出具的资信证明（附基本存款账户信息）。</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资格证明部分.docx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供应商应提供行业主管部门颁发的《经营保险业务许可证》(同一保险机构只允许其本部或一家分支机构参与）</w:t>
            </w:r>
          </w:p>
        </w:tc>
        <w:tc>
          <w:tcPr>
            <w:tcW w:type="dxa" w:w="1661"/>
          </w:tcPr>
          <w:p>
            <w:pPr>
              <w:pStyle w:val="null3"/>
            </w:pPr>
            <w:r>
              <w:rPr>
                <w:rFonts w:ascii="仿宋_GB2312" w:hAnsi="仿宋_GB2312" w:cs="仿宋_GB2312" w:eastAsia="仿宋_GB2312"/>
              </w:rPr>
              <w:t>资格证明部分.docx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依据财政部关于《推动解决政府采购异常低价问题的通知》（财库〔2026〕2号）文，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响应文件上法定代表人（单位负责人）或其委托代理人的签名齐全并加盖单位章。</w:t>
            </w:r>
          </w:p>
        </w:tc>
        <w:tc>
          <w:tcPr>
            <w:tcW w:type="dxa" w:w="1661"/>
          </w:tcPr>
          <w:p>
            <w:pPr>
              <w:pStyle w:val="null3"/>
            </w:pPr>
            <w:r>
              <w:rPr>
                <w:rFonts w:ascii="仿宋_GB2312" w:hAnsi="仿宋_GB2312" w:cs="仿宋_GB2312" w:eastAsia="仿宋_GB2312"/>
              </w:rPr>
              <w:t>响应文件封面 资格证明部分.docx 中小企业声明函 残疾人福利性单位声明函 标的清单 报价表 响应函 商务技术部分.docx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响应文件封面 资格证明部分.docx 中小企业声明函 残疾人福利性单位声明函 标的清单 报价表 响应函 商务技术部分.docx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只能有一个有效报价，不得提交选择性报价，且报价不超过第二章“供应商须知”前附表规定的采购预算金额或最高限价。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 （5）不同供应商的响应文件相互混装。</w:t>
            </w:r>
          </w:p>
        </w:tc>
        <w:tc>
          <w:tcPr>
            <w:tcW w:type="dxa" w:w="1661"/>
          </w:tcPr>
          <w:p>
            <w:pPr>
              <w:pStyle w:val="null3"/>
            </w:pPr>
            <w:r>
              <w:rPr>
                <w:rFonts w:ascii="仿宋_GB2312" w:hAnsi="仿宋_GB2312" w:cs="仿宋_GB2312" w:eastAsia="仿宋_GB2312"/>
              </w:rPr>
              <w:t>响应文件封面 资格证明部分.docx 中小企业声明函 残疾人福利性单位声明函 标的清单 报价表 响应函 商务技术部分.docx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响应函 商务技术部分.docx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服务要求响应</w:t>
            </w:r>
          </w:p>
        </w:tc>
        <w:tc>
          <w:tcPr>
            <w:tcW w:type="dxa" w:w="2492"/>
          </w:tcPr>
          <w:p>
            <w:pPr>
              <w:pStyle w:val="null3"/>
            </w:pPr>
            <w:r>
              <w:rPr>
                <w:rFonts w:ascii="仿宋_GB2312" w:hAnsi="仿宋_GB2312" w:cs="仿宋_GB2312" w:eastAsia="仿宋_GB2312"/>
              </w:rPr>
              <w:t>1.培训服务（3分）：培训每年≥2次，计划含时间/地点/内容/受众；满足最低标准2次的基础上每增加1次得1分，内容不全不加分。 2.回访机制（3分）：每季度≥1次电话/登门回访，有记录；频次满足最低标准1次的基础上每增加1次得1分，无记录不加分。 3.联席会议（3分）：每半年1次（民政局+承保方+养老机构），有纪要；频次满足最低标准半年1次的基础上每增加1次得1分，未组织纪要不全不得分。 4.报表提交（3分）：每季度结束后10个工作日内提交上季度理赔报表；提前1个工作日得1分。 5.法律援助（1分）：事故纠纷提供无偿咨询的1分；未承诺不得分。 6. 宣传服务（2分）：多种方式（短信/公众号/手册），多种方式得2分；方式单一得1分，无计划不得分。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偿付能力</w:t>
            </w:r>
          </w:p>
        </w:tc>
        <w:tc>
          <w:tcPr>
            <w:tcW w:type="dxa" w:w="2492"/>
          </w:tcPr>
          <w:p>
            <w:pPr>
              <w:pStyle w:val="null3"/>
            </w:pPr>
            <w:r>
              <w:rPr>
                <w:rFonts w:ascii="仿宋_GB2312" w:hAnsi="仿宋_GB2312" w:cs="仿宋_GB2312" w:eastAsia="仿宋_GB2312"/>
              </w:rPr>
              <w:t>偿付能力充足率：供应商应提供上一年度经第三方审计机构出具的偿付能力报告，综合偿付能力 200%及以上计7分，综合偿付能力 150%(含)-200%计5分，综合偿付能力100%(含)-150%计3分。综合偿付能力低于100%不计分（未提供经第三方机构审计的年度末偿付能力报告不计分）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风险综合评级</w:t>
            </w:r>
          </w:p>
        </w:tc>
        <w:tc>
          <w:tcPr>
            <w:tcW w:type="dxa" w:w="2492"/>
          </w:tcPr>
          <w:p>
            <w:pPr>
              <w:pStyle w:val="null3"/>
            </w:pPr>
            <w:r>
              <w:rPr>
                <w:rFonts w:ascii="仿宋_GB2312" w:hAnsi="仿宋_GB2312" w:cs="仿宋_GB2312" w:eastAsia="仿宋_GB2312"/>
              </w:rPr>
              <w:t>风险综合评级：供应商所属总公司近两年（2024-2025年）风险综合评级情况，按每个季度风险综合评级（分类监管）评价得分，每获得一次A的，得1分；每获得一次B的，得0.5分；C、D不得分，满分8分。（提供供应商所属总公司风险综合评级相关证明材料）</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承保服务、理赔服务手续</w:t>
            </w:r>
          </w:p>
        </w:tc>
        <w:tc>
          <w:tcPr>
            <w:tcW w:type="dxa" w:w="2492"/>
          </w:tcPr>
          <w:p>
            <w:pPr>
              <w:pStyle w:val="null3"/>
            </w:pPr>
            <w:r>
              <w:rPr>
                <w:rFonts w:ascii="仿宋_GB2312" w:hAnsi="仿宋_GB2312" w:cs="仿宋_GB2312" w:eastAsia="仿宋_GB2312"/>
              </w:rPr>
              <w:t>供应商承诺的承保服务、理赔服务手续繁简程度、快速理赔通道。 ①内容完整全面、科学合理、可操作性强，完全满足采购人需求得5分； ②内容全面，可操作性较强，基本满足采购人需求得4分； ③内容基本完善，可操作性一般得3分； ④内容简单，空泛得2分； ⑤内容有缺漏，不能满足采购人需求得1分； ⑥此项未提供者不计分。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理赔措施</w:t>
            </w:r>
          </w:p>
        </w:tc>
        <w:tc>
          <w:tcPr>
            <w:tcW w:type="dxa" w:w="2492"/>
          </w:tcPr>
          <w:p>
            <w:pPr>
              <w:pStyle w:val="null3"/>
            </w:pPr>
            <w:r>
              <w:rPr>
                <w:rFonts w:ascii="仿宋_GB2312" w:hAnsi="仿宋_GB2312" w:cs="仿宋_GB2312" w:eastAsia="仿宋_GB2312"/>
              </w:rPr>
              <w:t>具有完整成套的理赔措施，理赔措施详尽合理，并具有方便、快捷的特点。 ①内容完整全面、科学合理、可操作性强，完全满足采购人需求得5分； ②内容全面，可操作性较强，基本满足采购人需求得4分； ③内容基本完善，可操作性一般得3分； ④内容简单，空泛得2分； ⑤内容有缺漏，不能满足采购人需求得1分； ⑥此项未提供者不计分。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理赔时效</w:t>
            </w:r>
          </w:p>
        </w:tc>
        <w:tc>
          <w:tcPr>
            <w:tcW w:type="dxa" w:w="2492"/>
          </w:tcPr>
          <w:p>
            <w:pPr>
              <w:pStyle w:val="null3"/>
            </w:pPr>
            <w:r>
              <w:rPr>
                <w:rFonts w:ascii="仿宋_GB2312" w:hAnsi="仿宋_GB2312" w:cs="仿宋_GB2312" w:eastAsia="仿宋_GB2312"/>
              </w:rPr>
              <w:t>对责任事故处理有明确的理赔时效。 ①内容完整全面、科学合理、可操作性强，完全满足采购人需求得5分； ②内容基本完善，可操作性一般得3分； ③内容简单，空泛得2分； ④内容有缺漏，不能满足采购人需求得1分； ⑤此项未提供者不计分。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便捷理赔方案</w:t>
            </w:r>
          </w:p>
        </w:tc>
        <w:tc>
          <w:tcPr>
            <w:tcW w:type="dxa" w:w="2492"/>
          </w:tcPr>
          <w:p>
            <w:pPr>
              <w:pStyle w:val="null3"/>
            </w:pPr>
            <w:r>
              <w:rPr>
                <w:rFonts w:ascii="仿宋_GB2312" w:hAnsi="仿宋_GB2312" w:cs="仿宋_GB2312" w:eastAsia="仿宋_GB2312"/>
              </w:rPr>
              <w:t>供应商提供上门和其他便捷理赔服务方案。 ①方案完整全面、科学合理、可操作性强，完全满足采购人需求得5分； ②方案基本完善，可操作性一般得3分； ③方案内容简单，空泛得2分； ④方案有缺漏，不能满足采购人需求得1分； ⑤此项未提供者不计分。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协助理赔</w:t>
            </w:r>
          </w:p>
        </w:tc>
        <w:tc>
          <w:tcPr>
            <w:tcW w:type="dxa" w:w="2492"/>
          </w:tcPr>
          <w:p>
            <w:pPr>
              <w:pStyle w:val="null3"/>
            </w:pPr>
            <w:r>
              <w:rPr>
                <w:rFonts w:ascii="仿宋_GB2312" w:hAnsi="仿宋_GB2312" w:cs="仿宋_GB2312" w:eastAsia="仿宋_GB2312"/>
              </w:rPr>
              <w:t>对被保险人提供理赔材料有欠缺的协助处理方案，提供相关方案。 ①方案合理，描述清晰，且能针对性满足项目需求得5分； ②方案合理，但陈述简单，缺乏针对性得3分； ③方案笼统，但基本满足采购需求得2分； ④方案缺失严重，或未结合项目情况进行论述得1分； ⑤此项未提供者不计分。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培训及宣传</w:t>
            </w:r>
          </w:p>
        </w:tc>
        <w:tc>
          <w:tcPr>
            <w:tcW w:type="dxa" w:w="2492"/>
          </w:tcPr>
          <w:p>
            <w:pPr>
              <w:pStyle w:val="null3"/>
            </w:pPr>
            <w:r>
              <w:rPr>
                <w:rFonts w:ascii="仿宋_GB2312" w:hAnsi="仿宋_GB2312" w:cs="仿宋_GB2312" w:eastAsia="仿宋_GB2312"/>
              </w:rPr>
              <w:t>供应商应对投保人（被保险人）提供合理的、覆盖面广的保险专业培训，确保投保人（被保险人）充分理解保险、理赔流程等，并加大媒体宣传，开展形式多样内容丰富的宣传活动。 ①内容完整全面、科学合理、可操作性强，完全满足采购人需求得5分；②内容基本完善，可操作性一般得3分； ③内容简单，空泛得2分；④内容有缺漏，不能满足采购人需求得1分；⑤此项未提供者不计分。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供应商针对本项目提供管理制度方案，包括但不限于保险理赔管理制度、人员管理制度、用户投诉受理制度、档案管理。 ①方案完整全面、科学合理、可操作性强，完全满足采购人需求得5分；②方案基本完善，可操作性一般得3分；③方案内容简单，空泛得2分；④方案有缺漏，不能满足采购人需求得1分；⑤此项未提供者不计分。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拟投入的团队人员</w:t>
            </w:r>
          </w:p>
        </w:tc>
        <w:tc>
          <w:tcPr>
            <w:tcW w:type="dxa" w:w="2492"/>
          </w:tcPr>
          <w:p>
            <w:pPr>
              <w:pStyle w:val="null3"/>
            </w:pPr>
            <w:r>
              <w:rPr>
                <w:rFonts w:ascii="仿宋_GB2312" w:hAnsi="仿宋_GB2312" w:cs="仿宋_GB2312" w:eastAsia="仿宋_GB2312"/>
              </w:rPr>
              <w:t>包括但不限于(1)承保(2)理赔(3)风险管理(4)协调沟通等不同专业能力和职能的人员，不少于6人）且从业时间不少于3年，得5分。（提供相关简历及证明资料）未提供不得分。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提供2023年1月1日至今类似项目业绩，每个业绩计 3 分，满分 15 分。（业绩资料提供合同复印件，复印件加盖公章。以合同签订日期为准。）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磋商小组为投标人的报价明显低于其他通过符合性审查投标人的报价，有可能影响产品质量或者不能诚信履约的，应当要求其在评标现场合理的时间内提供书面说明，提供项目具体成本测算等与报价合理性相关的书面说明及必要的证明材料，包括但不限于人工成本、管理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财库〔2020〕46号文件的规定，采用低价优先法计算，以本次满足磋商文件要求的最低磋商评审价为磋商基准价，其磋商报价为满分。供应商的磋商报价得分，统一按照下列公式计算：磋商评审价=磋商报价×（1-磋商报价扣除幅度），磋商报价得分=(评审基准价／磋商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政府采购促进中小企业发展管理办法》的相关规定，对小型和微型企业的价格给予10%的扣除，用扣除后的价格参与评审。（2）根据《财政部民政部中国残疾人联合会关于促进残疾人就业政府采购政策的通知》（财库[2017]141号）的规定，对符合条件的残疾人福利性单位产品的价格给予10%的扣除，用扣除后的价格参与评审。小型、微型企业和监狱企业级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详见附件：资格证明部分.docx</w:t>
      </w:r>
    </w:p>
    <w:p>
      <w:pPr>
        <w:pStyle w:val="null3"/>
        <w:ind w:firstLine="960"/>
      </w:pPr>
      <w:r>
        <w:rPr>
          <w:rFonts w:ascii="仿宋_GB2312" w:hAnsi="仿宋_GB2312" w:cs="仿宋_GB2312" w:eastAsia="仿宋_GB2312"/>
        </w:rPr>
        <w:t>详见附件：商务技术部分.docx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详见附件：西安市碑林区2026年度老年人意外伤害保险项目-合同.docx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