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3"/>
        <w:keepNext w:val="0"/>
        <w:keepLines w:val="0"/>
        <w:pageBreakBefore w:val="0"/>
        <w:kinsoku/>
        <w:wordWrap/>
        <w:overflowPunct/>
        <w:topLinePunct w:val="0"/>
        <w:autoSpaceDE/>
        <w:autoSpaceDN/>
        <w:bidi w:val="0"/>
        <w:snapToGrid/>
        <w:spacing w:line="360" w:lineRule="auto"/>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拟签订采购合同文本</w:t>
      </w:r>
    </w:p>
    <w:p w14:paraId="6920C532">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合同编号： </w:t>
      </w:r>
    </w:p>
    <w:p w14:paraId="7CD0DB0B">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签订地点： </w:t>
      </w:r>
    </w:p>
    <w:p w14:paraId="1DB7F74D">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签订时间: </w:t>
      </w:r>
    </w:p>
    <w:p w14:paraId="0567940F">
      <w:pPr>
        <w:pStyle w:val="11"/>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是否为专门面向中小企业的采购项目：</w:t>
      </w:r>
      <w:r>
        <w:rPr>
          <w:rFonts w:hint="eastAsia" w:ascii="宋体" w:hAnsi="宋体" w:cs="宋体"/>
          <w:sz w:val="24"/>
          <w:szCs w:val="24"/>
          <w:highlight w:val="none"/>
          <w:lang w:val="en-US" w:eastAsia="zh-CN"/>
        </w:rPr>
        <w:t>否</w:t>
      </w:r>
    </w:p>
    <w:p w14:paraId="6BFD5609">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p>
    <w:p w14:paraId="660EF41F">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p>
    <w:p w14:paraId="32169DF0">
      <w:pPr>
        <w:pStyle w:val="11"/>
        <w:keepNext w:val="0"/>
        <w:keepLines w:val="0"/>
        <w:pageBreakBefore w:val="0"/>
        <w:kinsoku/>
        <w:wordWrap/>
        <w:overflowPunct/>
        <w:topLinePunct w:val="0"/>
        <w:autoSpaceDE/>
        <w:autoSpaceDN/>
        <w:bidi w:val="0"/>
        <w:spacing w:line="360" w:lineRule="auto"/>
        <w:ind w:firstLine="480"/>
        <w:rPr>
          <w:color w:val="000000"/>
          <w:highlight w:val="none"/>
        </w:rPr>
      </w:pPr>
      <w:r>
        <w:rPr>
          <w:rFonts w:hint="eastAsia"/>
          <w:color w:val="000000"/>
          <w:highlight w:val="none"/>
        </w:rPr>
        <w:t>根据《中华人民共和国政府采购法》及实施条例、《中华人民共和国民法典》和甲方</w:t>
      </w:r>
      <w:r>
        <w:rPr>
          <w:rFonts w:hint="eastAsia"/>
          <w:color w:val="000000"/>
          <w:highlight w:val="none"/>
          <w:u w:val="single"/>
        </w:rPr>
        <w:t xml:space="preserve">             </w:t>
      </w:r>
      <w:r>
        <w:rPr>
          <w:rFonts w:hint="eastAsia"/>
          <w:color w:val="000000"/>
          <w:highlight w:val="none"/>
        </w:rPr>
        <w:t xml:space="preserve"> 采购项目（采购项目编号：</w:t>
      </w:r>
      <w:r>
        <w:rPr>
          <w:rFonts w:hint="eastAsia"/>
          <w:color w:val="000000"/>
          <w:highlight w:val="none"/>
          <w:u w:val="single"/>
        </w:rPr>
        <w:t xml:space="preserve">       </w:t>
      </w:r>
      <w:r>
        <w:rPr>
          <w:rFonts w:hint="eastAsia"/>
          <w:color w:val="000000"/>
          <w:highlight w:val="none"/>
        </w:rPr>
        <w:t>）的采购文件、响应文件等有关规定，为确保甲方采购项目的顺利实施，甲、乙双方在平等自愿原则下签订本合同，并共同遵守如下条款，其主要要求如下：</w:t>
      </w:r>
    </w:p>
    <w:p w14:paraId="38EBD8DB">
      <w:pPr>
        <w:keepNext w:val="0"/>
        <w:keepLines w:val="0"/>
        <w:pageBreakBefore w:val="0"/>
        <w:kinsoku/>
        <w:wordWrap/>
        <w:overflowPunct/>
        <w:topLinePunct w:val="0"/>
        <w:autoSpaceDE/>
        <w:autoSpaceDN/>
        <w:bidi w:val="0"/>
        <w:spacing w:line="360" w:lineRule="auto"/>
        <w:ind w:left="425"/>
        <w:rPr>
          <w:rFonts w:hAnsi="宋体"/>
          <w:b/>
          <w:color w:val="000000"/>
          <w:highlight w:val="none"/>
        </w:rPr>
      </w:pPr>
      <w:r>
        <w:rPr>
          <w:rFonts w:hint="eastAsia" w:hAnsi="宋体"/>
          <w:b/>
          <w:color w:val="000000"/>
          <w:highlight w:val="none"/>
        </w:rPr>
        <w:t>第一条   项目基本情况</w:t>
      </w:r>
    </w:p>
    <w:p w14:paraId="5B0FFE89">
      <w:pPr>
        <w:keepNext w:val="0"/>
        <w:keepLines w:val="0"/>
        <w:pageBreakBefore w:val="0"/>
        <w:kinsoku/>
        <w:wordWrap/>
        <w:overflowPunct/>
        <w:topLinePunct w:val="0"/>
        <w:autoSpaceDE/>
        <w:autoSpaceDN/>
        <w:bidi w:val="0"/>
        <w:spacing w:line="360" w:lineRule="auto"/>
        <w:ind w:firstLine="480" w:firstLineChars="200"/>
        <w:rPr>
          <w:rFonts w:hint="eastAsia" w:hAnsi="宋体" w:cs="宋体"/>
          <w:color w:val="000000"/>
          <w:highlight w:val="none"/>
          <w:u w:val="none"/>
        </w:rPr>
      </w:pPr>
      <w:r>
        <w:rPr>
          <w:rFonts w:hint="eastAsia" w:hAnsi="宋体" w:cs="宋体"/>
          <w:color w:val="000000"/>
          <w:highlight w:val="none"/>
          <w:u w:val="none"/>
        </w:rPr>
        <w:t>西安市碑林区2026年度老年人意外伤害保险项目。</w:t>
      </w:r>
    </w:p>
    <w:p w14:paraId="225D6C6C">
      <w:pPr>
        <w:keepNext w:val="0"/>
        <w:keepLines w:val="0"/>
        <w:pageBreakBefore w:val="0"/>
        <w:kinsoku/>
        <w:wordWrap/>
        <w:overflowPunct/>
        <w:topLinePunct w:val="0"/>
        <w:autoSpaceDE/>
        <w:autoSpaceDN/>
        <w:bidi w:val="0"/>
        <w:spacing w:line="360" w:lineRule="auto"/>
        <w:ind w:firstLine="480" w:firstLineChars="200"/>
        <w:rPr>
          <w:rFonts w:hint="eastAsia" w:hAnsi="宋体" w:cs="宋体"/>
          <w:color w:val="000000"/>
          <w:highlight w:val="none"/>
          <w:u w:val="none"/>
        </w:rPr>
      </w:pPr>
      <w:r>
        <w:rPr>
          <w:rFonts w:hint="eastAsia" w:hAnsi="宋体" w:cs="宋体"/>
          <w:color w:val="000000"/>
          <w:highlight w:val="none"/>
          <w:u w:val="none"/>
        </w:rPr>
        <w:t>根据西安市民政局、西安市财政局、西安市退役军人事务局《关于做好老年人意外伤害保险工作的通知》（市民发〔2025〕126号）文件精神，推进基本养老服务均衡优质供给，增强老年人及其家庭的抗风险能力，对西安市</w:t>
      </w:r>
      <w:r>
        <w:rPr>
          <w:rFonts w:hint="eastAsia" w:hAnsi="宋体" w:cs="宋体"/>
          <w:color w:val="000000"/>
          <w:highlight w:val="none"/>
          <w:u w:val="none"/>
          <w:lang w:val="en-US" w:eastAsia="zh-CN"/>
        </w:rPr>
        <w:t>碑林区</w:t>
      </w:r>
      <w:r>
        <w:rPr>
          <w:rFonts w:hint="eastAsia" w:hAnsi="宋体" w:cs="宋体"/>
          <w:color w:val="000000"/>
          <w:highlight w:val="none"/>
          <w:u w:val="none"/>
        </w:rPr>
        <w:t>户籍年满60周岁及以上的居家养老的老年人（享受城乡最低生活保障待遇人员、城乡特困供养人员、享受国家定期抚恤补助优抚对象及80周岁及以上居家养老的老年人），由政府出资给每位老人每年购买1份意外伤害保险。</w:t>
      </w:r>
    </w:p>
    <w:p w14:paraId="743FA379">
      <w:pPr>
        <w:keepNext w:val="0"/>
        <w:keepLines w:val="0"/>
        <w:pageBreakBefore w:val="0"/>
        <w:kinsoku/>
        <w:wordWrap/>
        <w:overflowPunct/>
        <w:topLinePunct w:val="0"/>
        <w:autoSpaceDE/>
        <w:autoSpaceDN/>
        <w:bidi w:val="0"/>
        <w:spacing w:line="360" w:lineRule="auto"/>
        <w:ind w:left="425"/>
        <w:rPr>
          <w:rFonts w:hint="default" w:ascii="宋体" w:hAnsi="宋体" w:eastAsia="宋体" w:cs="Times New Roman"/>
          <w:b/>
          <w:color w:val="000000"/>
          <w:highlight w:val="none"/>
          <w:lang w:val="en-US" w:eastAsia="zh-CN"/>
        </w:rPr>
      </w:pPr>
      <w:r>
        <w:rPr>
          <w:rFonts w:hint="eastAsia" w:ascii="宋体" w:hAnsi="宋体" w:eastAsia="宋体" w:cs="Times New Roman"/>
          <w:b/>
          <w:color w:val="000000"/>
          <w:highlight w:val="none"/>
          <w:lang w:val="en-US" w:eastAsia="zh-CN"/>
        </w:rPr>
        <w:t>第二条</w:t>
      </w:r>
      <w:r>
        <w:rPr>
          <w:rFonts w:hint="eastAsia" w:ascii="宋体" w:hAnsi="宋体" w:eastAsia="宋体" w:cs="Times New Roman"/>
          <w:b/>
          <w:color w:val="000000"/>
          <w:highlight w:val="none"/>
        </w:rPr>
        <w:t xml:space="preserve">  服务期限</w:t>
      </w:r>
      <w:r>
        <w:rPr>
          <w:rFonts w:hint="eastAsia" w:hAnsi="宋体" w:cs="Times New Roman"/>
          <w:b/>
          <w:color w:val="000000"/>
          <w:highlight w:val="none"/>
          <w:lang w:val="en-US" w:eastAsia="zh-CN"/>
        </w:rPr>
        <w:t>保障期限</w:t>
      </w:r>
    </w:p>
    <w:p w14:paraId="1FD1B6DB">
      <w:pPr>
        <w:pStyle w:val="11"/>
        <w:keepNext w:val="0"/>
        <w:keepLines w:val="0"/>
        <w:pageBreakBefore w:val="0"/>
        <w:kinsoku/>
        <w:wordWrap/>
        <w:overflowPunct/>
        <w:topLinePunct w:val="0"/>
        <w:autoSpaceDE/>
        <w:autoSpaceDN/>
        <w:bidi w:val="0"/>
        <w:spacing w:line="360" w:lineRule="auto"/>
        <w:ind w:firstLine="480"/>
        <w:rPr>
          <w:rFonts w:hint="eastAsia" w:ascii="宋体" w:hAnsi="Times New Roman" w:eastAsia="宋体" w:cs="宋体"/>
          <w:color w:val="000000"/>
          <w:highlight w:val="none"/>
          <w:lang w:val="en-US" w:eastAsia="zh-CN"/>
        </w:rPr>
      </w:pPr>
      <w:r>
        <w:rPr>
          <w:rFonts w:hint="eastAsia" w:ascii="宋体" w:hAnsi="Times New Roman" w:eastAsia="宋体" w:cs="宋体"/>
          <w:color w:val="000000"/>
          <w:highlight w:val="none"/>
          <w:lang w:val="en-US" w:eastAsia="zh-CN"/>
        </w:rPr>
        <w:t>服务期限：</w:t>
      </w:r>
      <w:r>
        <w:rPr>
          <w:rFonts w:hint="eastAsia" w:cs="宋体"/>
          <w:color w:val="000000"/>
          <w:highlight w:val="none"/>
          <w:u w:val="single"/>
          <w:lang w:val="en-US" w:eastAsia="zh-CN"/>
        </w:rPr>
        <w:t xml:space="preserve">  自合同签订之日起至2026年12月31日。</w:t>
      </w:r>
    </w:p>
    <w:p w14:paraId="6E5EC073">
      <w:pPr>
        <w:pStyle w:val="11"/>
        <w:keepNext w:val="0"/>
        <w:keepLines w:val="0"/>
        <w:pageBreakBefore w:val="0"/>
        <w:kinsoku/>
        <w:wordWrap/>
        <w:overflowPunct/>
        <w:topLinePunct w:val="0"/>
        <w:autoSpaceDE/>
        <w:autoSpaceDN/>
        <w:bidi w:val="0"/>
        <w:spacing w:line="360" w:lineRule="auto"/>
        <w:ind w:firstLine="480"/>
        <w:rPr>
          <w:rFonts w:hint="default" w:ascii="宋体" w:hAnsi="Times New Roman" w:eastAsia="宋体" w:cs="宋体"/>
          <w:color w:val="000000"/>
          <w:highlight w:val="none"/>
          <w:lang w:val="en-US" w:eastAsia="zh-CN"/>
        </w:rPr>
      </w:pPr>
      <w:r>
        <w:rPr>
          <w:rFonts w:hint="eastAsia" w:cs="宋体"/>
          <w:color w:val="0000FF"/>
          <w:highlight w:val="none"/>
          <w:lang w:val="en-US" w:eastAsia="zh-CN"/>
        </w:rPr>
        <w:t>保障期限：一年，乙方对被保险人自2026年1月1日零时起至2026年12月31日二十四时止，期间发生的属于保险责任的案件进行理赔。</w:t>
      </w:r>
    </w:p>
    <w:p w14:paraId="7FC6D1DA">
      <w:pPr>
        <w:keepNext w:val="0"/>
        <w:keepLines w:val="0"/>
        <w:pageBreakBefore w:val="0"/>
        <w:kinsoku/>
        <w:wordWrap/>
        <w:overflowPunct/>
        <w:topLinePunct w:val="0"/>
        <w:autoSpaceDE/>
        <w:autoSpaceDN/>
        <w:bidi w:val="0"/>
        <w:spacing w:line="360" w:lineRule="auto"/>
        <w:ind w:left="425"/>
        <w:rPr>
          <w:rFonts w:hAnsi="宋体"/>
          <w:b/>
          <w:color w:val="000000"/>
          <w:highlight w:val="none"/>
        </w:rPr>
      </w:pPr>
      <w:bookmarkStart w:id="0" w:name="_Toc185395249"/>
      <w:bookmarkStart w:id="1" w:name="_Toc225244852"/>
      <w:bookmarkStart w:id="2" w:name="_Toc232492928"/>
      <w:bookmarkStart w:id="3" w:name="_Toc212019594"/>
      <w:bookmarkStart w:id="4" w:name="_Toc239233914"/>
      <w:bookmarkStart w:id="5" w:name="_Toc282696226"/>
      <w:bookmarkStart w:id="6" w:name="_Toc237145406"/>
      <w:bookmarkStart w:id="7" w:name="_Toc211911348"/>
      <w:bookmarkStart w:id="8" w:name="_Toc283019214"/>
      <w:bookmarkStart w:id="9" w:name="_Toc251768862"/>
      <w:bookmarkStart w:id="10" w:name="_Toc241833903"/>
      <w:bookmarkStart w:id="11" w:name="_Toc239568418"/>
      <w:bookmarkStart w:id="12" w:name="_Toc238984975"/>
      <w:bookmarkStart w:id="13" w:name="_Toc211854449"/>
      <w:bookmarkStart w:id="14" w:name="_Toc247334841"/>
      <w:bookmarkStart w:id="15" w:name="_Toc286993786"/>
      <w:bookmarkStart w:id="16" w:name="_Toc225670751"/>
      <w:bookmarkStart w:id="17" w:name="_Toc225654644"/>
      <w:r>
        <w:rPr>
          <w:rFonts w:hint="eastAsia" w:hAnsi="宋体"/>
          <w:b/>
          <w:color w:val="000000"/>
          <w:highlight w:val="none"/>
        </w:rPr>
        <w:t>第三条   服务内容</w:t>
      </w:r>
    </w:p>
    <w:p w14:paraId="2BC9FBF3">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highlight w:val="none"/>
          <w:lang w:val="zh-TW" w:eastAsia="zh-TW" w:bidi="zh-TW"/>
        </w:rPr>
      </w:pPr>
      <w:bookmarkStart w:id="18" w:name="_Toc20078"/>
      <w:r>
        <w:rPr>
          <w:rFonts w:hint="eastAsia" w:ascii="宋体" w:hAnsi="宋体" w:eastAsia="宋体" w:cs="宋体"/>
          <w:color w:val="000000"/>
          <w:kern w:val="0"/>
          <w:sz w:val="24"/>
          <w:szCs w:val="24"/>
          <w:highlight w:val="none"/>
          <w:lang w:val="en-US" w:eastAsia="zh-CN" w:bidi="zh-TW"/>
        </w:rPr>
        <w:t>1.</w:t>
      </w:r>
      <w:r>
        <w:rPr>
          <w:rFonts w:hint="eastAsia" w:ascii="宋体" w:hAnsi="宋体" w:eastAsia="宋体" w:cs="宋体"/>
          <w:color w:val="000000"/>
          <w:kern w:val="0"/>
          <w:sz w:val="24"/>
          <w:szCs w:val="24"/>
          <w:highlight w:val="none"/>
          <w:lang w:val="zh-TW" w:eastAsia="zh-TW" w:bidi="zh-TW"/>
        </w:rPr>
        <w:t>服务内容</w:t>
      </w:r>
    </w:p>
    <w:tbl>
      <w:tblPr>
        <w:tblStyle w:val="8"/>
        <w:tblW w:w="5004"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0"/>
        <w:gridCol w:w="4973"/>
        <w:gridCol w:w="3330"/>
      </w:tblGrid>
      <w:tr w14:paraId="27C824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9"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top"/>
          </w:tcPr>
          <w:p w14:paraId="30FB5C66">
            <w:pPr>
              <w:pStyle w:val="1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保险责任</w:t>
            </w:r>
          </w:p>
        </w:tc>
        <w:tc>
          <w:tcPr>
            <w:tcW w:w="2749" w:type="pct"/>
            <w:tcBorders>
              <w:top w:val="single" w:color="000000" w:sz="4" w:space="0"/>
              <w:left w:val="nil"/>
              <w:bottom w:val="single" w:color="000000" w:sz="4" w:space="0"/>
              <w:right w:val="single" w:color="000000" w:sz="4" w:space="0"/>
            </w:tcBorders>
            <w:noWrap w:val="0"/>
            <w:tcMar>
              <w:top w:w="0" w:type="dxa"/>
              <w:left w:w="0" w:type="dxa"/>
              <w:bottom w:w="0" w:type="dxa"/>
              <w:right w:w="0" w:type="dxa"/>
            </w:tcMar>
            <w:vAlign w:val="center"/>
          </w:tcPr>
          <w:p w14:paraId="0556D3E1">
            <w:pPr>
              <w:pStyle w:val="13"/>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参保人群</w:t>
            </w:r>
          </w:p>
        </w:tc>
        <w:tc>
          <w:tcPr>
            <w:tcW w:w="1841" w:type="pct"/>
            <w:tcBorders>
              <w:top w:val="single" w:color="000000" w:sz="4" w:space="0"/>
              <w:left w:val="nil"/>
              <w:bottom w:val="single" w:color="000000" w:sz="4" w:space="0"/>
              <w:right w:val="single" w:color="000000" w:sz="4" w:space="0"/>
            </w:tcBorders>
            <w:noWrap w:val="0"/>
            <w:tcMar>
              <w:top w:w="0" w:type="dxa"/>
              <w:left w:w="0" w:type="dxa"/>
              <w:bottom w:w="0" w:type="dxa"/>
              <w:right w:w="0" w:type="dxa"/>
            </w:tcMar>
            <w:vAlign w:val="center"/>
          </w:tcPr>
          <w:p w14:paraId="05CDBC9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数量</w:t>
            </w:r>
          </w:p>
        </w:tc>
      </w:tr>
      <w:tr w14:paraId="56BA54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9" w:type="pct"/>
            <w:tcBorders>
              <w:top w:val="nil"/>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57FBDA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老年人意外伤害保险</w:t>
            </w:r>
          </w:p>
        </w:tc>
        <w:tc>
          <w:tcPr>
            <w:tcW w:w="2749" w:type="pct"/>
            <w:tcBorders>
              <w:top w:val="nil"/>
              <w:left w:val="nil"/>
              <w:bottom w:val="single" w:color="000000" w:sz="4" w:space="0"/>
              <w:right w:val="single" w:color="000000" w:sz="4" w:space="0"/>
            </w:tcBorders>
            <w:noWrap w:val="0"/>
            <w:tcMar>
              <w:top w:w="0" w:type="dxa"/>
              <w:left w:w="0" w:type="dxa"/>
              <w:bottom w:w="0" w:type="dxa"/>
              <w:right w:w="0" w:type="dxa"/>
            </w:tcMar>
            <w:vAlign w:val="center"/>
          </w:tcPr>
          <w:p w14:paraId="22143AD3">
            <w:pPr>
              <w:pStyle w:val="13"/>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西安市</w:t>
            </w:r>
            <w:r>
              <w:rPr>
                <w:rFonts w:hint="eastAsia" w:ascii="宋体" w:hAnsi="宋体" w:eastAsia="宋体" w:cs="宋体"/>
                <w:color w:val="000000"/>
                <w:sz w:val="24"/>
                <w:szCs w:val="24"/>
                <w:highlight w:val="none"/>
                <w:lang w:val="en-US" w:eastAsia="zh-CN"/>
              </w:rPr>
              <w:t>碑林区</w:t>
            </w:r>
            <w:r>
              <w:rPr>
                <w:rFonts w:hint="eastAsia" w:ascii="宋体" w:hAnsi="宋体" w:eastAsia="宋体" w:cs="宋体"/>
                <w:color w:val="000000"/>
                <w:sz w:val="24"/>
                <w:szCs w:val="24"/>
                <w:highlight w:val="none"/>
              </w:rPr>
              <w:t>户籍年满60周岁及以上的居家养老的老年人（享受城乡最低生活保障待遇人员、城乡特困供养人员、享受国家定期抚恤补助优抚对象及80周岁以上居家养老的老年人），由政府出资给每位老人每年购买1份意外伤害保险。</w:t>
            </w:r>
          </w:p>
        </w:tc>
        <w:tc>
          <w:tcPr>
            <w:tcW w:w="1841" w:type="pct"/>
            <w:tcBorders>
              <w:top w:val="nil"/>
              <w:left w:val="nil"/>
              <w:bottom w:val="single" w:color="000000" w:sz="4" w:space="0"/>
              <w:right w:val="single" w:color="000000" w:sz="4" w:space="0"/>
            </w:tcBorders>
            <w:noWrap w:val="0"/>
            <w:tcMar>
              <w:top w:w="0" w:type="dxa"/>
              <w:left w:w="0" w:type="dxa"/>
              <w:bottom w:w="0" w:type="dxa"/>
              <w:right w:w="0" w:type="dxa"/>
            </w:tcMar>
            <w:vAlign w:val="center"/>
          </w:tcPr>
          <w:p w14:paraId="09D8C556">
            <w:pPr>
              <w:pStyle w:val="13"/>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约为35000</w:t>
            </w:r>
            <w:r>
              <w:rPr>
                <w:rFonts w:hint="eastAsia" w:ascii="宋体" w:hAnsi="宋体" w:eastAsia="宋体" w:cs="宋体"/>
                <w:color w:val="000000"/>
                <w:sz w:val="24"/>
                <w:szCs w:val="24"/>
                <w:highlight w:val="none"/>
              </w:rPr>
              <w:t>人，保险费标准为每人</w:t>
            </w:r>
            <w:r>
              <w:rPr>
                <w:rFonts w:hint="eastAsia" w:ascii="宋体" w:hAnsi="宋体" w:eastAsia="宋体" w:cs="宋体"/>
                <w:color w:val="000000"/>
                <w:sz w:val="24"/>
                <w:szCs w:val="24"/>
                <w:highlight w:val="none"/>
                <w:lang w:val="en-US" w:eastAsia="zh-CN"/>
              </w:rPr>
              <w:t>不超过</w:t>
            </w:r>
            <w:r>
              <w:rPr>
                <w:rFonts w:hint="eastAsia" w:ascii="宋体" w:hAnsi="宋体" w:eastAsia="宋体" w:cs="宋体"/>
                <w:color w:val="000000"/>
                <w:sz w:val="24"/>
                <w:szCs w:val="24"/>
                <w:highlight w:val="none"/>
              </w:rPr>
              <w:t>20元/份/年</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最终以实际参保人数为准。</w:t>
            </w:r>
          </w:p>
        </w:tc>
      </w:tr>
    </w:tbl>
    <w:p w14:paraId="415237AB">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CN" w:bidi="zh-TW"/>
        </w:rPr>
      </w:pPr>
      <w:r>
        <w:rPr>
          <w:rFonts w:hint="eastAsia" w:ascii="宋体" w:hAnsi="宋体" w:eastAsia="宋体" w:cs="宋体"/>
          <w:color w:val="000000"/>
          <w:kern w:val="0"/>
          <w:sz w:val="24"/>
          <w:szCs w:val="24"/>
          <w:highlight w:val="none"/>
          <w:lang w:val="en-US" w:eastAsia="zh-CN" w:bidi="zh-TW"/>
        </w:rPr>
        <w:t>2.</w:t>
      </w:r>
      <w:r>
        <w:rPr>
          <w:rFonts w:hint="eastAsia" w:ascii="宋体" w:hAnsi="宋体" w:eastAsia="宋体" w:cs="宋体"/>
          <w:color w:val="000000"/>
          <w:kern w:val="0"/>
          <w:sz w:val="24"/>
          <w:szCs w:val="24"/>
          <w:highlight w:val="none"/>
          <w:lang w:val="zh-TW" w:eastAsia="zh-TW" w:bidi="zh-TW"/>
        </w:rPr>
        <w:t>保险</w:t>
      </w:r>
      <w:r>
        <w:rPr>
          <w:rFonts w:hint="eastAsia" w:ascii="宋体" w:hAnsi="宋体" w:eastAsia="宋体" w:cs="宋体"/>
          <w:color w:val="000000"/>
          <w:kern w:val="0"/>
          <w:sz w:val="24"/>
          <w:szCs w:val="24"/>
          <w:highlight w:val="none"/>
          <w:lang w:val="en-US" w:eastAsia="zh-CN" w:bidi="zh-TW"/>
        </w:rPr>
        <w:t>责任</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8"/>
        <w:gridCol w:w="2936"/>
        <w:gridCol w:w="3528"/>
      </w:tblGrid>
      <w:tr w14:paraId="7FBB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pct"/>
            <w:noWrap w:val="0"/>
            <w:vAlign w:val="center"/>
          </w:tcPr>
          <w:p w14:paraId="65555721">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保障范围</w:t>
            </w:r>
          </w:p>
        </w:tc>
        <w:tc>
          <w:tcPr>
            <w:tcW w:w="1588" w:type="pct"/>
            <w:noWrap w:val="0"/>
            <w:vAlign w:val="center"/>
          </w:tcPr>
          <w:p w14:paraId="224EF762">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赔付标准</w:t>
            </w:r>
          </w:p>
        </w:tc>
        <w:tc>
          <w:tcPr>
            <w:tcW w:w="1908" w:type="pct"/>
            <w:noWrap w:val="0"/>
            <w:vAlign w:val="center"/>
          </w:tcPr>
          <w:p w14:paraId="65FC7DFE">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保险金额</w:t>
            </w:r>
          </w:p>
        </w:tc>
      </w:tr>
      <w:tr w14:paraId="74AB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pct"/>
            <w:noWrap w:val="0"/>
            <w:vAlign w:val="center"/>
          </w:tcPr>
          <w:p w14:paraId="63E56E37">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意外身故保险金</w:t>
            </w:r>
          </w:p>
        </w:tc>
        <w:tc>
          <w:tcPr>
            <w:tcW w:w="1588" w:type="pct"/>
            <w:noWrap w:val="0"/>
            <w:vAlign w:val="top"/>
          </w:tcPr>
          <w:p w14:paraId="78CE0706">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身故按保险金额一次性给付</w:t>
            </w:r>
          </w:p>
        </w:tc>
        <w:tc>
          <w:tcPr>
            <w:tcW w:w="1908" w:type="pct"/>
            <w:noWrap w:val="0"/>
            <w:vAlign w:val="center"/>
          </w:tcPr>
          <w:p w14:paraId="0C9F33FE">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30000元</w:t>
            </w:r>
          </w:p>
        </w:tc>
      </w:tr>
      <w:tr w14:paraId="5C94B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pct"/>
            <w:noWrap w:val="0"/>
            <w:vAlign w:val="center"/>
          </w:tcPr>
          <w:p w14:paraId="72A40814">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意外伤害伤残保险金</w:t>
            </w:r>
          </w:p>
        </w:tc>
        <w:tc>
          <w:tcPr>
            <w:tcW w:w="1588" w:type="pct"/>
            <w:noWrap w:val="0"/>
            <w:vAlign w:val="center"/>
          </w:tcPr>
          <w:p w14:paraId="423685B2">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按伤残等级比例给付</w:t>
            </w:r>
          </w:p>
        </w:tc>
        <w:tc>
          <w:tcPr>
            <w:tcW w:w="1908" w:type="pct"/>
            <w:noWrap w:val="0"/>
            <w:vAlign w:val="top"/>
          </w:tcPr>
          <w:p w14:paraId="783B601C">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十级3000元、九级6000元、八级9000元、七级12000元、六级15000元、五级18000元、四级21000元、三级24000元、二级27000元、一级30000元</w:t>
            </w:r>
          </w:p>
        </w:tc>
      </w:tr>
      <w:tr w14:paraId="3AFF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pct"/>
            <w:noWrap w:val="0"/>
            <w:vAlign w:val="center"/>
          </w:tcPr>
          <w:p w14:paraId="06815594">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意外伤害医疗费用补助</w:t>
            </w:r>
          </w:p>
        </w:tc>
        <w:tc>
          <w:tcPr>
            <w:tcW w:w="1588" w:type="pct"/>
            <w:noWrap w:val="0"/>
            <w:vAlign w:val="top"/>
          </w:tcPr>
          <w:p w14:paraId="5C193A99">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100元以下免赔；</w:t>
            </w:r>
          </w:p>
          <w:p w14:paraId="0E3F733E">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100元以上给付比例100%，不超过限额。</w:t>
            </w:r>
          </w:p>
        </w:tc>
        <w:tc>
          <w:tcPr>
            <w:tcW w:w="1908" w:type="pct"/>
            <w:noWrap w:val="0"/>
            <w:vAlign w:val="center"/>
          </w:tcPr>
          <w:p w14:paraId="3A3A211E">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5000元</w:t>
            </w:r>
          </w:p>
        </w:tc>
      </w:tr>
      <w:tr w14:paraId="4809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3" w:type="pct"/>
            <w:noWrap w:val="0"/>
            <w:vAlign w:val="center"/>
          </w:tcPr>
          <w:p w14:paraId="2FBA4990">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意外伤害住院补贴</w:t>
            </w:r>
          </w:p>
        </w:tc>
        <w:tc>
          <w:tcPr>
            <w:tcW w:w="1588" w:type="pct"/>
            <w:noWrap w:val="0"/>
            <w:vAlign w:val="top"/>
          </w:tcPr>
          <w:p w14:paraId="11A5835B">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每天给付金额30元，单次以90天为限；累计最高给付180天。</w:t>
            </w:r>
          </w:p>
        </w:tc>
        <w:tc>
          <w:tcPr>
            <w:tcW w:w="1908" w:type="pct"/>
            <w:noWrap w:val="0"/>
            <w:vAlign w:val="center"/>
          </w:tcPr>
          <w:p w14:paraId="0C1316C3">
            <w:pPr>
              <w:pStyle w:val="1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5400元</w:t>
            </w:r>
          </w:p>
        </w:tc>
      </w:tr>
    </w:tbl>
    <w:p w14:paraId="0AA2ACEF">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3.理赔事项</w:t>
      </w:r>
    </w:p>
    <w:p w14:paraId="33E8D4E6">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3.1理赔流程</w:t>
      </w:r>
    </w:p>
    <w:p w14:paraId="298845AB">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（1）老年人发生意外事故后，通过</w:t>
      </w:r>
      <w:r>
        <w:rPr>
          <w:rFonts w:hint="eastAsia" w:ascii="宋体" w:hAnsi="宋体" w:eastAsia="宋体" w:cs="宋体"/>
          <w:color w:val="000000"/>
          <w:kern w:val="0"/>
          <w:sz w:val="24"/>
          <w:szCs w:val="24"/>
          <w:highlight w:val="none"/>
          <w:lang w:val="zh-TW" w:eastAsia="zh-TW" w:bidi="zh-TW"/>
        </w:rPr>
        <w:t>承保单位</w:t>
      </w:r>
      <w:r>
        <w:rPr>
          <w:rFonts w:hint="eastAsia" w:ascii="宋体" w:hAnsi="宋体" w:eastAsia="宋体" w:cs="宋体"/>
          <w:color w:val="000000"/>
          <w:kern w:val="0"/>
          <w:sz w:val="24"/>
          <w:szCs w:val="24"/>
          <w:highlight w:val="none"/>
          <w:lang w:val="en-US" w:eastAsia="zh-CN" w:bidi="zh-TW"/>
        </w:rPr>
        <w:t>客服热线，通知</w:t>
      </w:r>
      <w:r>
        <w:rPr>
          <w:rFonts w:hint="eastAsia" w:ascii="宋体" w:hAnsi="宋体" w:eastAsia="宋体" w:cs="宋体"/>
          <w:color w:val="000000"/>
          <w:kern w:val="0"/>
          <w:sz w:val="24"/>
          <w:szCs w:val="24"/>
          <w:highlight w:val="none"/>
          <w:lang w:val="zh-TW" w:eastAsia="zh-TW" w:bidi="zh-TW"/>
        </w:rPr>
        <w:t>承保单位</w:t>
      </w:r>
      <w:r>
        <w:rPr>
          <w:rFonts w:hint="eastAsia" w:ascii="宋体" w:hAnsi="宋体" w:eastAsia="宋体" w:cs="宋体"/>
          <w:color w:val="000000"/>
          <w:kern w:val="0"/>
          <w:sz w:val="24"/>
          <w:szCs w:val="24"/>
          <w:highlight w:val="none"/>
          <w:lang w:val="zh-TW" w:eastAsia="zh-CN" w:bidi="zh-TW"/>
        </w:rPr>
        <w:t>；</w:t>
      </w:r>
    </w:p>
    <w:p w14:paraId="1382EBBF">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（2）</w:t>
      </w:r>
      <w:r>
        <w:rPr>
          <w:rFonts w:hint="eastAsia" w:ascii="宋体" w:hAnsi="宋体" w:eastAsia="宋体" w:cs="宋体"/>
          <w:color w:val="000000"/>
          <w:kern w:val="0"/>
          <w:sz w:val="24"/>
          <w:szCs w:val="24"/>
          <w:highlight w:val="none"/>
          <w:lang w:val="zh-TW" w:eastAsia="zh-TW" w:bidi="zh-TW"/>
        </w:rPr>
        <w:t>承保单位</w:t>
      </w:r>
      <w:r>
        <w:rPr>
          <w:rFonts w:hint="eastAsia" w:ascii="宋体" w:hAnsi="宋体" w:eastAsia="宋体" w:cs="宋体"/>
          <w:color w:val="000000"/>
          <w:kern w:val="0"/>
          <w:sz w:val="24"/>
          <w:szCs w:val="24"/>
          <w:highlight w:val="none"/>
          <w:lang w:val="en-US" w:eastAsia="zh-CN" w:bidi="zh-TW"/>
        </w:rPr>
        <w:t>接到通知后，开展现场查勘和资料收集；</w:t>
      </w:r>
    </w:p>
    <w:p w14:paraId="0F6CE692">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（3）</w:t>
      </w:r>
      <w:r>
        <w:rPr>
          <w:rFonts w:hint="eastAsia" w:ascii="宋体" w:hAnsi="宋体" w:eastAsia="宋体" w:cs="宋体"/>
          <w:color w:val="000000"/>
          <w:kern w:val="0"/>
          <w:sz w:val="24"/>
          <w:szCs w:val="24"/>
          <w:highlight w:val="none"/>
          <w:lang w:val="zh-TW" w:eastAsia="zh-TW" w:bidi="zh-TW"/>
        </w:rPr>
        <w:t>承保单位</w:t>
      </w:r>
      <w:r>
        <w:rPr>
          <w:rFonts w:hint="eastAsia" w:ascii="宋体" w:hAnsi="宋体" w:eastAsia="宋体" w:cs="宋体"/>
          <w:color w:val="000000"/>
          <w:kern w:val="0"/>
          <w:sz w:val="24"/>
          <w:szCs w:val="24"/>
          <w:highlight w:val="none"/>
          <w:lang w:val="en-US" w:eastAsia="zh-CN" w:bidi="zh-TW"/>
        </w:rPr>
        <w:t>完成理赔作业处理，并将赔款支付给受益人。</w:t>
      </w:r>
    </w:p>
    <w:p w14:paraId="727CE4FA">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3.2理赔规则</w:t>
      </w:r>
    </w:p>
    <w:p w14:paraId="5DA4B434">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（1）老年人发生意外伤害事件所产生的医疗费用，先由基本医疗保险按规定报销后，剩余部分有老年人意外伤害保险按照保险责任约定比例理赔；</w:t>
      </w:r>
    </w:p>
    <w:p w14:paraId="012395D9">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zh-TW"/>
        </w:rPr>
      </w:pPr>
      <w:r>
        <w:rPr>
          <w:rFonts w:hint="eastAsia" w:ascii="宋体" w:hAnsi="宋体" w:eastAsia="宋体" w:cs="宋体"/>
          <w:color w:val="000000"/>
          <w:kern w:val="0"/>
          <w:sz w:val="24"/>
          <w:szCs w:val="24"/>
          <w:highlight w:val="none"/>
          <w:lang w:val="en-US" w:eastAsia="zh-CN" w:bidi="zh-TW"/>
        </w:rPr>
        <w:t>（2）入住养老机构老年人发生意外伤害所产生的医疗费用理赔顺序为：基本医疗保险→养老机构综合责任保险→老年人意外伤害保险。</w:t>
      </w:r>
    </w:p>
    <w:p w14:paraId="7F2EBA9C">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4.</w:t>
      </w:r>
      <w:r>
        <w:rPr>
          <w:rFonts w:hint="eastAsia" w:ascii="宋体" w:hAnsi="宋体" w:eastAsia="宋体" w:cs="宋体"/>
          <w:color w:val="000000"/>
          <w:kern w:val="0"/>
          <w:sz w:val="24"/>
          <w:szCs w:val="24"/>
          <w:highlight w:val="none"/>
          <w:lang w:val="zh-TW" w:eastAsia="zh-TW" w:bidi="zh-TW"/>
        </w:rPr>
        <w:t>服务要求</w:t>
      </w:r>
    </w:p>
    <w:p w14:paraId="330B8C6F">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（1）培训服务</w:t>
      </w:r>
    </w:p>
    <w:p w14:paraId="316F8DDA">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在保险期限内，承保单位负责每年举办至少两次保险知识和风险管理培训，以提供被保险人相关人员的安全意识和防灾防损技能。培训时发生的场地费、住宿费、餐饮费及接待费用由承保单位承担。具体举办时间和地点，由承保单位及投保人共同协商确定。培训计划及内容：</w:t>
      </w:r>
    </w:p>
    <w:tbl>
      <w:tblPr>
        <w:tblStyle w:val="8"/>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758"/>
        <w:gridCol w:w="3474"/>
        <w:gridCol w:w="4000"/>
      </w:tblGrid>
      <w:tr w14:paraId="442555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52"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C2AD997">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年度</w:t>
            </w:r>
          </w:p>
        </w:tc>
        <w:tc>
          <w:tcPr>
            <w:tcW w:w="1881"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DF001A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培训内容</w:t>
            </w:r>
          </w:p>
        </w:tc>
        <w:tc>
          <w:tcPr>
            <w:tcW w:w="2166"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1D77D4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具体时间</w:t>
            </w:r>
          </w:p>
        </w:tc>
      </w:tr>
      <w:tr w14:paraId="1F1BDA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52" w:type="pct"/>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C50B26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20</w:t>
            </w:r>
            <w:r>
              <w:rPr>
                <w:rFonts w:hint="eastAsia" w:ascii="宋体" w:hAnsi="宋体" w:eastAsia="宋体" w:cs="宋体"/>
                <w:color w:val="000000"/>
                <w:sz w:val="24"/>
                <w:szCs w:val="24"/>
                <w:highlight w:val="none"/>
                <w:lang w:val="en-US" w:eastAsia="zh-CN"/>
              </w:rPr>
              <w:t>26</w:t>
            </w:r>
            <w:r>
              <w:rPr>
                <w:rFonts w:hint="eastAsia" w:ascii="宋体" w:hAnsi="宋体" w:eastAsia="宋体" w:cs="宋体"/>
                <w:color w:val="000000"/>
                <w:sz w:val="24"/>
                <w:szCs w:val="24"/>
                <w:highlight w:val="none"/>
              </w:rPr>
              <w:t>年度</w:t>
            </w:r>
          </w:p>
        </w:tc>
        <w:tc>
          <w:tcPr>
            <w:tcW w:w="1881"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F9F6BE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保险条款及合同讲解</w:t>
            </w:r>
          </w:p>
        </w:tc>
        <w:tc>
          <w:tcPr>
            <w:tcW w:w="216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97EA272">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签订保险合同一周之内</w:t>
            </w:r>
          </w:p>
        </w:tc>
      </w:tr>
      <w:tr w14:paraId="66C044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52" w:type="pct"/>
            <w:vMerge w:val="continue"/>
            <w:tcBorders>
              <w:top w:val="nil"/>
              <w:left w:val="single" w:color="000000" w:sz="4" w:space="0"/>
              <w:bottom w:val="single" w:color="000000" w:sz="4" w:space="0"/>
              <w:right w:val="single" w:color="000000" w:sz="4" w:space="0"/>
            </w:tcBorders>
            <w:noWrap w:val="0"/>
            <w:vAlign w:val="center"/>
          </w:tcPr>
          <w:p w14:paraId="5308245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881"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7A9A336">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索赔流程及要点介绍</w:t>
            </w:r>
          </w:p>
        </w:tc>
        <w:tc>
          <w:tcPr>
            <w:tcW w:w="216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520068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签订保险合同3个月之内</w:t>
            </w:r>
          </w:p>
        </w:tc>
      </w:tr>
      <w:tr w14:paraId="6AC941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52" w:type="pct"/>
            <w:vMerge w:val="continue"/>
            <w:tcBorders>
              <w:top w:val="nil"/>
              <w:left w:val="single" w:color="000000" w:sz="4" w:space="0"/>
              <w:bottom w:val="single" w:color="000000" w:sz="4" w:space="0"/>
              <w:right w:val="single" w:color="000000" w:sz="4" w:space="0"/>
            </w:tcBorders>
            <w:noWrap w:val="0"/>
            <w:vAlign w:val="center"/>
          </w:tcPr>
          <w:p w14:paraId="2E65D88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881"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AEC03F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风险防范及灾后自救</w:t>
            </w:r>
          </w:p>
        </w:tc>
        <w:tc>
          <w:tcPr>
            <w:tcW w:w="216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2D1C099">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签订保险合同半年之内</w:t>
            </w:r>
          </w:p>
        </w:tc>
      </w:tr>
    </w:tbl>
    <w:p w14:paraId="507ADD9D">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（2）组织实施回访服务</w:t>
      </w:r>
    </w:p>
    <w:p w14:paraId="08E47015">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在保单有效期内，由承保单位负责组织项目小组定期以电话沟通、登门回访或慰问走访等多种灵活形式收集客户反馈意见。</w:t>
      </w:r>
    </w:p>
    <w:p w14:paraId="516EC05B">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（3）建立联席会议制度</w:t>
      </w:r>
    </w:p>
    <w:p w14:paraId="6046463D">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承保单位负责每半年联合组织一次由承保公司、有关被保险人代表和民政相关领导参加的联席会议(费用由承保单位承担)，通报保险承保、理赔与其他服务情况，就有关问题进行沟通与协商。</w:t>
      </w:r>
    </w:p>
    <w:p w14:paraId="5D99DC30">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（4）承保理赔报表</w:t>
      </w:r>
    </w:p>
    <w:p w14:paraId="633034DA">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承保单位应当在每季度结束后的10个工作日内向民政局主管部门提交上季度保险承保和理赔报表(具体报表格式由民政局主管部门与承保单位共同商定)。</w:t>
      </w:r>
    </w:p>
    <w:p w14:paraId="3DE299F8">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（5）重大自然灾害预警机制</w:t>
      </w:r>
    </w:p>
    <w:p w14:paraId="66E28211">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承保单位应主动向客户提供具备重大自然灾害预警信息，即在台（暴）风、暴雨、大雾、大雪、高温等恶劣天气来临前48小时，自动向VIP客户发送灾害预警短信，提醒客户做好防损工作。对于可能出现的重大气象情况，承保单位客服人员立即通过后援中心的短信服务平台将预警信息第一时间发送到客户手中。短信内容包括气象跟踪实时信息、灾害前的防范措施、灾害中的应急措施和灾后的紧急抢救措施和相关注意事项。在向客户发送重大自然灾害预警短信的同时，承保单位内部将立即启动应急预案，按照应急预案组成应急指挥中心，统一调度协调，组成重大灾害调度小组、现场查勘小组、定损小组、核算小组、理赔小组、后勤保障小组等。</w:t>
      </w:r>
    </w:p>
    <w:p w14:paraId="73156FDA">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（6</w:t>
      </w:r>
      <w:r>
        <w:rPr>
          <w:rFonts w:hint="eastAsia" w:ascii="宋体" w:hAnsi="宋体" w:eastAsia="宋体" w:cs="宋体"/>
          <w:color w:val="000000"/>
          <w:kern w:val="0"/>
          <w:sz w:val="24"/>
          <w:szCs w:val="24"/>
          <w:highlight w:val="none"/>
          <w:lang w:val="zh-TW" w:eastAsia="zh-CN" w:bidi="zh-TW"/>
        </w:rPr>
        <w:t>）</w:t>
      </w:r>
      <w:r>
        <w:rPr>
          <w:rFonts w:hint="eastAsia" w:ascii="宋体" w:hAnsi="宋体" w:eastAsia="宋体" w:cs="宋体"/>
          <w:color w:val="000000"/>
          <w:kern w:val="0"/>
          <w:sz w:val="24"/>
          <w:szCs w:val="24"/>
          <w:highlight w:val="none"/>
          <w:lang w:val="zh-TW" w:eastAsia="zh-TW" w:bidi="zh-TW"/>
        </w:rPr>
        <w:t>第三方责任事故法律援助</w:t>
      </w:r>
    </w:p>
    <w:p w14:paraId="057BE697">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对于因保险事故产生的第三者纠纷，如被保险人有需求，承保单位应在事故发生之初就及时介入调解处理，为被保险人提供处理建议，防止事件扩大，并提供无偿的法律咨询服务。</w:t>
      </w:r>
    </w:p>
    <w:p w14:paraId="2D6BEABF">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CN" w:bidi="zh-TW"/>
        </w:rPr>
      </w:pPr>
      <w:r>
        <w:rPr>
          <w:rFonts w:hint="eastAsia" w:ascii="宋体" w:hAnsi="宋体" w:eastAsia="宋体" w:cs="宋体"/>
          <w:color w:val="000000"/>
          <w:kern w:val="0"/>
          <w:sz w:val="24"/>
          <w:szCs w:val="24"/>
          <w:highlight w:val="none"/>
          <w:lang w:val="zh-TW" w:eastAsia="zh-CN" w:bidi="zh-TW"/>
        </w:rPr>
        <w:t>（</w:t>
      </w:r>
      <w:r>
        <w:rPr>
          <w:rFonts w:hint="eastAsia" w:ascii="宋体" w:hAnsi="宋体" w:eastAsia="宋体" w:cs="宋体"/>
          <w:color w:val="000000"/>
          <w:kern w:val="0"/>
          <w:sz w:val="24"/>
          <w:szCs w:val="24"/>
          <w:highlight w:val="none"/>
          <w:lang w:val="en-US" w:eastAsia="zh-CN" w:bidi="zh-TW"/>
        </w:rPr>
        <w:t>7</w:t>
      </w:r>
      <w:r>
        <w:rPr>
          <w:rFonts w:hint="eastAsia" w:ascii="宋体" w:hAnsi="宋体" w:eastAsia="宋体" w:cs="宋体"/>
          <w:color w:val="000000"/>
          <w:kern w:val="0"/>
          <w:sz w:val="24"/>
          <w:szCs w:val="24"/>
          <w:highlight w:val="none"/>
          <w:lang w:val="zh-TW" w:eastAsia="zh-CN" w:bidi="zh-TW"/>
        </w:rPr>
        <w:t>）</w:t>
      </w:r>
      <w:r>
        <w:rPr>
          <w:rFonts w:hint="eastAsia" w:ascii="宋体" w:hAnsi="宋体" w:eastAsia="宋体" w:cs="宋体"/>
          <w:color w:val="000000"/>
          <w:kern w:val="0"/>
          <w:sz w:val="24"/>
          <w:szCs w:val="24"/>
          <w:highlight w:val="none"/>
          <w:lang w:val="zh-TW" w:eastAsia="zh-TW" w:bidi="zh-TW"/>
        </w:rPr>
        <w:t>承保单位宣传到位，利用多种方式宣传发动，让全社会充分认识老年人意外伤害保险是经济社会发展和人口老龄化发展的客观要求，充分发挥自身优势，利用网点覆盖广泛、服务队伍专业性强等特点，采取短信提醒、制发一人一张的承保明白卡、张贴宣传单、微信公众号等方式，借助各类媒体手段和宣传平台，面向全社会开展形式多样、内容丰富的宣传活动，提高社会各界对老年人意外伤害保险的认知度和关注度。</w:t>
      </w:r>
    </w:p>
    <w:p w14:paraId="2EC36ABA">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w:t>
      </w:r>
      <w:r>
        <w:rPr>
          <w:rFonts w:hint="eastAsia" w:ascii="宋体" w:hAnsi="宋体" w:eastAsia="宋体" w:cs="宋体"/>
          <w:color w:val="000000"/>
          <w:kern w:val="0"/>
          <w:sz w:val="24"/>
          <w:szCs w:val="24"/>
          <w:highlight w:val="none"/>
          <w:lang w:val="en-US" w:eastAsia="zh-CN" w:bidi="zh-TW"/>
        </w:rPr>
        <w:t>8</w:t>
      </w:r>
      <w:r>
        <w:rPr>
          <w:rFonts w:hint="eastAsia" w:ascii="宋体" w:hAnsi="宋体" w:eastAsia="宋体" w:cs="宋体"/>
          <w:color w:val="000000"/>
          <w:kern w:val="0"/>
          <w:sz w:val="24"/>
          <w:szCs w:val="24"/>
          <w:highlight w:val="none"/>
          <w:lang w:val="zh-TW" w:eastAsia="zh-TW" w:bidi="zh-TW"/>
        </w:rPr>
        <w:t>）服务保证</w:t>
      </w:r>
    </w:p>
    <w:p w14:paraId="725AEB42">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①制度保证</w:t>
      </w:r>
    </w:p>
    <w:p w14:paraId="1A852B1D">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一旦中标成为承保人，承保单位将以红头文件或者工作通知书将服务计划和承保条件公布在内部网并邮件通知各分支机构，各分支机构按照文件及市政府关于老年人意外伤害保险项目相关要求与相关单位取得联络，以便开展保险服务工作。</w:t>
      </w:r>
    </w:p>
    <w:p w14:paraId="56D8529C">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②优秀的再保险保证</w:t>
      </w:r>
    </w:p>
    <w:p w14:paraId="4155CFB0">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承保单位要积极与高标准的再保险公司合作，加强企业实力和承保能力。</w:t>
      </w:r>
    </w:p>
    <w:p w14:paraId="7CB5E061">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③出色的网络服务平台</w:t>
      </w:r>
    </w:p>
    <w:p w14:paraId="1E8097CC">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承保单位应具备功能强大的网络平台，可以为客户提供专业化的产品和服务。</w:t>
      </w:r>
    </w:p>
    <w:p w14:paraId="351EE64D">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④专业的服务团队</w:t>
      </w:r>
    </w:p>
    <w:p w14:paraId="18005ADD">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承保单位应设有24小时热线客户咨询服务、投诉举报电话，安排专人接听、记录、受理；本着“专业、稳定、热诚、差异”的原则，承保单位应为本项目按照最优等客户服务模式组建专属服务团队，构建与实际服务能力相适应的多级服务体系。</w:t>
      </w:r>
    </w:p>
    <w:p w14:paraId="2FF2AB35">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⑤监督和控制</w:t>
      </w:r>
    </w:p>
    <w:p w14:paraId="35529EA7">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zh-TW" w:eastAsia="zh-TW" w:bidi="zh-TW"/>
        </w:rPr>
        <w:t>保险服务的承诺如何落实在于对服务的跟踪及监督，承保单位应对各下属机构的保险服务建立跟踪监督机制，具体将从以下几个方面着手：</w:t>
      </w:r>
    </w:p>
    <w:p w14:paraId="6E0E38BA">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①</w:t>
      </w:r>
      <w:r>
        <w:rPr>
          <w:rFonts w:hint="eastAsia" w:ascii="宋体" w:hAnsi="宋体" w:eastAsia="宋体" w:cs="宋体"/>
          <w:color w:val="000000"/>
          <w:kern w:val="0"/>
          <w:sz w:val="24"/>
          <w:szCs w:val="24"/>
          <w:highlight w:val="none"/>
          <w:lang w:val="zh-TW" w:eastAsia="zh-TW" w:bidi="zh-TW"/>
        </w:rPr>
        <w:t>日常跟踪及沟通：每月将与民政局相关部门沟通，了解下属机构的服务评价以及产生的相关问题；</w:t>
      </w:r>
    </w:p>
    <w:p w14:paraId="5372C4B2">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②</w:t>
      </w:r>
      <w:r>
        <w:rPr>
          <w:rFonts w:hint="eastAsia" w:ascii="宋体" w:hAnsi="宋体" w:eastAsia="宋体" w:cs="宋体"/>
          <w:color w:val="000000"/>
          <w:kern w:val="0"/>
          <w:sz w:val="24"/>
          <w:szCs w:val="24"/>
          <w:highlight w:val="none"/>
          <w:lang w:val="zh-TW" w:eastAsia="zh-TW" w:bidi="zh-TW"/>
        </w:rPr>
        <w:t>每季度向西安市老年人意外伤害保险主管单位发送《保险公司服务质量调查问卷》，了解承保单位及其下属企业的季度工作评价，以便发现问题、改进工作及提高服务水平；</w:t>
      </w:r>
    </w:p>
    <w:p w14:paraId="50F18254">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③</w:t>
      </w:r>
      <w:r>
        <w:rPr>
          <w:rFonts w:hint="eastAsia" w:ascii="宋体" w:hAnsi="宋体" w:eastAsia="宋体" w:cs="宋体"/>
          <w:color w:val="000000"/>
          <w:kern w:val="0"/>
          <w:sz w:val="24"/>
          <w:szCs w:val="24"/>
          <w:highlight w:val="none"/>
          <w:lang w:val="zh-TW" w:eastAsia="zh-TW" w:bidi="zh-TW"/>
        </w:rPr>
        <w:t>对于承保及理赔工作，承保单位通过强大的IT系统进行检测、跟进和监督，依托IT系统能保证提出准确的承保、理赔清单；</w:t>
      </w:r>
    </w:p>
    <w:p w14:paraId="19FE3266">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④</w:t>
      </w:r>
      <w:r>
        <w:rPr>
          <w:rFonts w:hint="eastAsia" w:ascii="宋体" w:hAnsi="宋体" w:eastAsia="宋体" w:cs="宋体"/>
          <w:color w:val="000000"/>
          <w:kern w:val="0"/>
          <w:sz w:val="24"/>
          <w:szCs w:val="24"/>
          <w:highlight w:val="none"/>
          <w:lang w:val="zh-TW" w:eastAsia="zh-TW" w:bidi="zh-TW"/>
        </w:rPr>
        <w:t>客户联络电话中心应具备客户投诉渠道，有效对被保险人投诉事件进行统计和反馈；</w:t>
      </w:r>
    </w:p>
    <w:p w14:paraId="22417048">
      <w:pPr>
        <w:pStyle w:val="13"/>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highlight w:val="none"/>
          <w:lang w:val="zh-TW" w:eastAsia="zh-TW" w:bidi="zh-TW"/>
        </w:rPr>
      </w:pPr>
      <w:r>
        <w:rPr>
          <w:rFonts w:hint="eastAsia" w:ascii="宋体" w:hAnsi="宋体" w:eastAsia="宋体" w:cs="宋体"/>
          <w:color w:val="000000"/>
          <w:kern w:val="0"/>
          <w:sz w:val="24"/>
          <w:szCs w:val="24"/>
          <w:highlight w:val="none"/>
          <w:lang w:val="en-US" w:eastAsia="zh-CN" w:bidi="zh-TW"/>
        </w:rPr>
        <w:t>⑤</w:t>
      </w:r>
      <w:r>
        <w:rPr>
          <w:rFonts w:hint="eastAsia" w:ascii="宋体" w:hAnsi="宋体" w:eastAsia="宋体" w:cs="宋体"/>
          <w:color w:val="000000"/>
          <w:kern w:val="0"/>
          <w:sz w:val="24"/>
          <w:szCs w:val="24"/>
          <w:highlight w:val="none"/>
          <w:lang w:val="zh-TW" w:eastAsia="zh-TW" w:bidi="zh-TW"/>
        </w:rPr>
        <w:t>惩罚制度：承保单位有专门部门负责对机构经营、服务进行判定，根据问题严重程度有红、黄、蓝牌处罚制度。</w:t>
      </w:r>
    </w:p>
    <w:p w14:paraId="35041741">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服务费用及支付方式</w:t>
      </w:r>
      <w:bookmarkEnd w:id="18"/>
    </w:p>
    <w:p w14:paraId="1EF11206">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1、服务费按下列比例支付价款</w:t>
      </w:r>
    </w:p>
    <w:p w14:paraId="6A9B6BB0">
      <w:pPr>
        <w:pStyle w:val="2"/>
        <w:keepNext w:val="0"/>
        <w:keepLines w:val="0"/>
        <w:pageBreakBefore w:val="0"/>
        <w:widowControl w:val="0"/>
        <w:kinsoku/>
        <w:wordWrap/>
        <w:overflowPunct/>
        <w:topLinePunct w:val="0"/>
        <w:autoSpaceDE/>
        <w:autoSpaceDN/>
        <w:bidi w:val="0"/>
        <w:adjustRightInd/>
        <w:snapToGrid/>
        <w:spacing w:before="0" w:line="360" w:lineRule="auto"/>
        <w:ind w:left="859" w:leftChars="200" w:hanging="379" w:hangingChars="158"/>
        <w:textAlignment w:val="auto"/>
        <w:rPr>
          <w:rFonts w:hint="default" w:ascii="宋体" w:hAnsi="宋体" w:eastAsia="宋体" w:cs="宋体"/>
          <w:b w:val="0"/>
          <w:bCs w:val="0"/>
          <w:i w:val="0"/>
          <w:iCs w:val="0"/>
          <w:caps w:val="0"/>
          <w:spacing w:val="0"/>
          <w:sz w:val="24"/>
          <w:szCs w:val="24"/>
          <w:highlight w:val="none"/>
          <w:shd w:val="clear" w:color="auto" w:fill="FFFFFF"/>
          <w:lang w:val="en-US" w:eastAsia="zh-CN"/>
        </w:rPr>
      </w:pPr>
      <w:r>
        <w:rPr>
          <w:rFonts w:hint="eastAsia" w:ascii="宋体" w:hAnsi="宋体" w:eastAsia="宋体" w:cs="宋体"/>
          <w:b w:val="0"/>
          <w:bCs w:val="0"/>
          <w:i w:val="0"/>
          <w:iCs w:val="0"/>
          <w:caps w:val="0"/>
          <w:spacing w:val="0"/>
          <w:sz w:val="24"/>
          <w:szCs w:val="24"/>
          <w:highlight w:val="none"/>
          <w:shd w:val="clear" w:color="auto" w:fill="FFFFFF"/>
          <w:lang w:val="en-US" w:eastAsia="zh-CN"/>
        </w:rPr>
        <w:t>保费单价</w:t>
      </w:r>
      <w:r>
        <w:rPr>
          <w:rFonts w:hint="eastAsia" w:ascii="宋体" w:hAnsi="宋体" w:eastAsia="宋体" w:cs="宋体"/>
          <w:b w:val="0"/>
          <w:bCs w:val="0"/>
          <w:i w:val="0"/>
          <w:iCs w:val="0"/>
          <w:caps w:val="0"/>
          <w:spacing w:val="0"/>
          <w:sz w:val="24"/>
          <w:szCs w:val="24"/>
          <w:highlight w:val="none"/>
          <w:shd w:val="clear" w:color="auto" w:fill="FFFFFF"/>
        </w:rPr>
        <w:t>人民币（大写）：</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元，￥</w:t>
      </w:r>
      <w:r>
        <w:rPr>
          <w:rFonts w:hint="eastAsia" w:ascii="宋体" w:hAnsi="宋体" w:eastAsia="宋体" w:cs="宋体"/>
          <w:b w:val="0"/>
          <w:bCs w:val="0"/>
          <w:i w:val="0"/>
          <w:iCs w:val="0"/>
          <w:caps w:val="0"/>
          <w:spacing w:val="0"/>
          <w:sz w:val="24"/>
          <w:szCs w:val="24"/>
          <w:highlight w:val="none"/>
          <w:u w:val="single"/>
          <w:shd w:val="clear" w:color="auto" w:fill="FFFFFF"/>
        </w:rPr>
        <w:t xml:space="preserve"> </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w:t>
      </w:r>
    </w:p>
    <w:p w14:paraId="63E66C96">
      <w:pPr>
        <w:pStyle w:val="2"/>
        <w:keepNext w:val="0"/>
        <w:keepLines w:val="0"/>
        <w:pageBreakBefore w:val="0"/>
        <w:widowControl w:val="0"/>
        <w:kinsoku/>
        <w:wordWrap/>
        <w:overflowPunct/>
        <w:topLinePunct w:val="0"/>
        <w:autoSpaceDE/>
        <w:autoSpaceDN/>
        <w:bidi w:val="0"/>
        <w:adjustRightInd/>
        <w:snapToGrid/>
        <w:spacing w:before="0" w:line="360" w:lineRule="auto"/>
        <w:ind w:left="859" w:leftChars="200" w:hanging="379" w:hangingChars="158"/>
        <w:textAlignment w:val="auto"/>
        <w:rPr>
          <w:rFonts w:hint="eastAsia" w:ascii="宋体" w:hAnsi="宋体" w:eastAsia="宋体" w:cs="宋体"/>
          <w:b w:val="0"/>
          <w:bCs w:val="0"/>
          <w:i w:val="0"/>
          <w:iCs w:val="0"/>
          <w:caps w:val="0"/>
          <w:spacing w:val="0"/>
          <w:sz w:val="24"/>
          <w:szCs w:val="24"/>
          <w:highlight w:val="none"/>
          <w:shd w:val="clear" w:color="auto" w:fill="FFFFFF"/>
        </w:rPr>
      </w:pPr>
      <w:r>
        <w:rPr>
          <w:rFonts w:hint="eastAsia" w:ascii="宋体" w:hAnsi="宋体" w:eastAsia="宋体" w:cs="宋体"/>
          <w:b w:val="0"/>
          <w:bCs w:val="0"/>
          <w:i w:val="0"/>
          <w:iCs w:val="0"/>
          <w:caps w:val="0"/>
          <w:spacing w:val="0"/>
          <w:sz w:val="24"/>
          <w:szCs w:val="24"/>
          <w:highlight w:val="none"/>
          <w:shd w:val="clear" w:color="auto" w:fill="FFFFFF"/>
        </w:rPr>
        <w:t>服务总费用为人民币（大写）：</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元，￥</w:t>
      </w:r>
      <w:r>
        <w:rPr>
          <w:rFonts w:hint="eastAsia" w:ascii="宋体" w:hAnsi="宋体" w:eastAsia="宋体" w:cs="宋体"/>
          <w:b w:val="0"/>
          <w:bCs w:val="0"/>
          <w:i w:val="0"/>
          <w:iCs w:val="0"/>
          <w:caps w:val="0"/>
          <w:spacing w:val="0"/>
          <w:sz w:val="24"/>
          <w:szCs w:val="24"/>
          <w:highlight w:val="none"/>
          <w:u w:val="single"/>
          <w:shd w:val="clear" w:color="auto" w:fill="FFFFFF"/>
        </w:rPr>
        <w:t xml:space="preserve"> </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w:t>
      </w:r>
    </w:p>
    <w:p w14:paraId="1EF8E649">
      <w:pPr>
        <w:pStyle w:val="12"/>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szCs w:val="24"/>
        </w:rPr>
      </w:pPr>
      <w:r>
        <w:rPr>
          <w:rFonts w:hint="eastAsia" w:ascii="宋体" w:hAnsi="宋体" w:eastAsia="宋体" w:cs="宋体"/>
          <w:color w:val="0000FF"/>
          <w:kern w:val="0"/>
          <w:sz w:val="24"/>
          <w:szCs w:val="24"/>
          <w:highlight w:val="none"/>
          <w:lang w:val="en-US" w:eastAsia="zh-CN"/>
        </w:rPr>
        <w:t>支付方式：</w:t>
      </w:r>
      <w:r>
        <w:rPr>
          <w:rFonts w:hint="eastAsia" w:ascii="宋体" w:hAnsi="宋体" w:eastAsia="宋体" w:cs="宋体"/>
          <w:color w:val="0000FF"/>
          <w:sz w:val="24"/>
          <w:szCs w:val="24"/>
        </w:rPr>
        <w:t>“政府补贴人群”的保费，采取预付资金和据实结算相结合模式</w:t>
      </w:r>
    </w:p>
    <w:p w14:paraId="016F7C52">
      <w:pPr>
        <w:pStyle w:val="12"/>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color w:val="0000FF"/>
        </w:rPr>
      </w:pPr>
      <w:r>
        <w:rPr>
          <w:rFonts w:hint="eastAsia" w:ascii="宋体" w:hAnsi="宋体" w:eastAsia="宋体" w:cs="宋体"/>
          <w:color w:val="0000FF"/>
          <w:sz w:val="24"/>
          <w:szCs w:val="24"/>
        </w:rPr>
        <w:t>（一）在签订承保协议后，由各区县(开发区)民政部门将市级财政承担的补助资金和本级财政配套资金汇总，先向承保保险公司支付保险期全额保险费的50%；</w:t>
      </w:r>
    </w:p>
    <w:p w14:paraId="1C2EDDEF">
      <w:pPr>
        <w:pStyle w:val="6"/>
        <w:keepNext w:val="0"/>
        <w:keepLines w:val="0"/>
        <w:widowControl/>
        <w:suppressLineNumbers w:val="0"/>
        <w:spacing w:before="0" w:beforeAutospacing="1" w:after="0" w:afterAutospacing="1"/>
        <w:ind w:left="0" w:right="0" w:firstLine="631"/>
        <w:jc w:val="left"/>
        <w:rPr>
          <w:color w:val="0000FF"/>
        </w:rPr>
      </w:pPr>
      <w:r>
        <w:rPr>
          <w:rFonts w:hint="eastAsia" w:ascii="宋体" w:hAnsi="宋体" w:eastAsia="宋体" w:cs="宋体"/>
          <w:color w:val="0000FF"/>
          <w:sz w:val="24"/>
          <w:szCs w:val="24"/>
        </w:rPr>
        <w:t>（二）保险期结束后，根据当年理赔金额占保险费总额比例，确定保险费支付金额。</w:t>
      </w:r>
    </w:p>
    <w:p w14:paraId="494D4D8C">
      <w:pPr>
        <w:pStyle w:val="6"/>
        <w:keepNext w:val="0"/>
        <w:keepLines w:val="0"/>
        <w:widowControl/>
        <w:suppressLineNumbers w:val="0"/>
        <w:spacing w:before="0" w:beforeAutospacing="1" w:after="0" w:afterAutospacing="1"/>
        <w:ind w:left="30" w:right="75" w:firstLine="639"/>
        <w:jc w:val="left"/>
        <w:rPr>
          <w:color w:val="0000FF"/>
        </w:rPr>
      </w:pPr>
      <w:r>
        <w:rPr>
          <w:rFonts w:hint="eastAsia" w:ascii="宋体" w:hAnsi="宋体" w:eastAsia="宋体" w:cs="宋体"/>
          <w:color w:val="0000FF"/>
          <w:sz w:val="24"/>
          <w:szCs w:val="24"/>
        </w:rPr>
        <w:t>1.当年理赔金额占保险费总额比例≥80%时，全额支付保险费。</w:t>
      </w:r>
    </w:p>
    <w:p w14:paraId="709FDB99">
      <w:pPr>
        <w:pStyle w:val="6"/>
        <w:keepNext w:val="0"/>
        <w:keepLines w:val="0"/>
        <w:widowControl/>
        <w:suppressLineNumbers w:val="0"/>
        <w:spacing w:before="0" w:beforeAutospacing="1" w:after="0" w:afterAutospacing="1"/>
        <w:ind w:left="30" w:right="75" w:firstLine="639"/>
        <w:jc w:val="left"/>
        <w:rPr>
          <w:color w:val="0000FF"/>
        </w:rPr>
      </w:pPr>
      <w:r>
        <w:rPr>
          <w:rFonts w:hint="eastAsia" w:ascii="宋体" w:hAnsi="宋体" w:eastAsia="宋体" w:cs="宋体"/>
          <w:color w:val="0000FF"/>
          <w:sz w:val="24"/>
          <w:szCs w:val="24"/>
        </w:rPr>
        <w:t>2.当年理赔金额占保险费总额比例&lt;80%时，按“理赔金额×1.2”支付。</w:t>
      </w:r>
    </w:p>
    <w:p w14:paraId="1712522B">
      <w:pPr>
        <w:pStyle w:val="6"/>
        <w:keepNext w:val="0"/>
        <w:keepLines w:val="0"/>
        <w:widowControl/>
        <w:suppressLineNumbers w:val="0"/>
        <w:spacing w:before="180" w:beforeAutospacing="0" w:after="0" w:afterAutospacing="1" w:line="360" w:lineRule="auto"/>
        <w:ind w:left="0" w:right="0" w:firstLine="673"/>
        <w:jc w:val="left"/>
        <w:rPr>
          <w:rFonts w:hint="eastAsia" w:ascii="宋体" w:hAnsi="宋体" w:eastAsia="宋体" w:cs="宋体"/>
          <w:color w:val="0000FF"/>
          <w:sz w:val="24"/>
          <w:szCs w:val="24"/>
        </w:rPr>
      </w:pPr>
      <w:r>
        <w:rPr>
          <w:rFonts w:hint="eastAsia" w:ascii="宋体" w:hAnsi="宋体" w:eastAsia="宋体" w:cs="宋体"/>
          <w:color w:val="0000FF"/>
          <w:sz w:val="24"/>
          <w:szCs w:val="24"/>
        </w:rPr>
        <w:t>3.当年“理赔金额×1.2”不足全额保险费的50%的部分资金，可定向用于涉老项目支出，如用于老年人意外伤害保险政策宣传、老年人慰问、探访关爱等支出，具体项目由各区县（开发区）民政部门根据养老实际需求由承保保险公司组织实施，并履行好监管责任。</w:t>
      </w:r>
    </w:p>
    <w:p w14:paraId="3EEA038C">
      <w:pPr>
        <w:pStyle w:val="6"/>
        <w:keepNext w:val="0"/>
        <w:keepLines w:val="0"/>
        <w:widowControl/>
        <w:suppressLineNumbers w:val="0"/>
        <w:spacing w:before="180" w:beforeAutospacing="0" w:after="0" w:afterAutospacing="1" w:line="360" w:lineRule="auto"/>
        <w:ind w:left="0" w:right="0" w:firstLine="673"/>
        <w:jc w:val="left"/>
        <w:rPr>
          <w:color w:val="0000FF"/>
        </w:rPr>
      </w:pPr>
      <w:bookmarkStart w:id="62" w:name="_GoBack"/>
      <w:bookmarkEnd w:id="62"/>
      <w:r>
        <w:rPr>
          <w:rFonts w:hint="eastAsia" w:ascii="宋体" w:hAnsi="宋体" w:eastAsia="宋体" w:cs="宋体"/>
          <w:color w:val="0000FF"/>
          <w:sz w:val="24"/>
          <w:szCs w:val="24"/>
        </w:rPr>
        <w:t>4.当年实付保费与应付保费之间差额部分,保险公司自行承担处理。</w:t>
      </w:r>
    </w:p>
    <w:p w14:paraId="76508DC3">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2、结算方式：银行转账</w:t>
      </w:r>
    </w:p>
    <w:p w14:paraId="21CC47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w:t>
      </w:r>
      <w:r>
        <w:rPr>
          <w:rFonts w:hint="eastAsia" w:ascii="宋体" w:hAnsi="宋体" w:eastAsia="宋体" w:cs="宋体"/>
          <w:kern w:val="0"/>
          <w:sz w:val="24"/>
          <w:szCs w:val="24"/>
          <w:highlight w:val="none"/>
        </w:rPr>
        <w:t>乙方收款账户</w:t>
      </w:r>
    </w:p>
    <w:p w14:paraId="34AFEE6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账户名称：                 </w:t>
      </w:r>
    </w:p>
    <w:p w14:paraId="4B1E0B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开户银行：                  </w:t>
      </w:r>
    </w:p>
    <w:p w14:paraId="2D34CF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rPr>
        <w:t>银行账号：</w:t>
      </w:r>
      <w:r>
        <w:rPr>
          <w:rFonts w:hint="eastAsia" w:ascii="宋体" w:hAnsi="宋体" w:eastAsia="宋体" w:cs="宋体"/>
          <w:kern w:val="0"/>
          <w:sz w:val="24"/>
          <w:szCs w:val="24"/>
          <w:highlight w:val="none"/>
          <w:lang w:val="en-US" w:eastAsia="zh-CN"/>
        </w:rPr>
        <w:t xml:space="preserve">                  </w:t>
      </w:r>
    </w:p>
    <w:p w14:paraId="33C43B1B">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19" w:name="_Toc22959"/>
      <w:r>
        <w:rPr>
          <w:rFonts w:hint="eastAsia" w:ascii="宋体" w:hAnsi="宋体" w:eastAsia="宋体" w:cs="宋体"/>
          <w:b/>
          <w:color w:val="auto"/>
          <w:sz w:val="24"/>
          <w:szCs w:val="24"/>
          <w:highlight w:val="none"/>
        </w:rPr>
        <w:t>第五条  知识产权（若有）</w:t>
      </w:r>
      <w:bookmarkEnd w:id="19"/>
    </w:p>
    <w:p w14:paraId="2027956E">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20" w:name="_Toc31647"/>
      <w:r>
        <w:rPr>
          <w:rFonts w:hint="eastAsia" w:ascii="宋体" w:hAnsi="宋体" w:eastAsia="宋体" w:cs="宋体"/>
          <w:b/>
          <w:color w:val="auto"/>
          <w:sz w:val="24"/>
          <w:szCs w:val="24"/>
          <w:highlight w:val="none"/>
        </w:rPr>
        <w:t>第六条  无产权瑕疵条款（如有）</w:t>
      </w:r>
      <w:bookmarkEnd w:id="20"/>
    </w:p>
    <w:p w14:paraId="25ABA474">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52864232">
      <w:pPr>
        <w:keepNext w:val="0"/>
        <w:keepLines w:val="0"/>
        <w:pageBreakBefore w:val="0"/>
        <w:kinsoku/>
        <w:wordWrap/>
        <w:overflowPunct/>
        <w:topLinePunct w:val="0"/>
        <w:autoSpaceDE/>
        <w:autoSpaceDN/>
        <w:bidi w:val="0"/>
        <w:spacing w:line="360" w:lineRule="auto"/>
        <w:ind w:left="426"/>
        <w:rPr>
          <w:rFonts w:hint="eastAsia" w:hAnsi="宋体"/>
          <w:b/>
          <w:color w:val="000000"/>
          <w:highlight w:val="none"/>
        </w:rPr>
      </w:pPr>
      <w:r>
        <w:rPr>
          <w:rFonts w:hint="eastAsia" w:hAnsi="宋体"/>
          <w:b/>
          <w:color w:val="000000"/>
          <w:highlight w:val="none"/>
        </w:rPr>
        <w:t>第七条   履约保证金</w:t>
      </w:r>
    </w:p>
    <w:p w14:paraId="09E59831">
      <w:pPr>
        <w:keepNext w:val="0"/>
        <w:keepLines w:val="0"/>
        <w:pageBreakBefore w:val="0"/>
        <w:kinsoku/>
        <w:wordWrap/>
        <w:overflowPunct/>
        <w:topLinePunct w:val="0"/>
        <w:autoSpaceDE/>
        <w:autoSpaceDN/>
        <w:bidi w:val="0"/>
        <w:spacing w:line="360" w:lineRule="auto"/>
        <w:ind w:left="426"/>
        <w:rPr>
          <w:rFonts w:hint="eastAsia" w:hAnsi="宋体"/>
          <w:color w:val="000000"/>
          <w:highlight w:val="none"/>
        </w:rPr>
      </w:pPr>
      <w:r>
        <w:rPr>
          <w:rFonts w:hint="eastAsia" w:hAnsi="宋体"/>
          <w:color w:val="000000"/>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FF33D5B">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1" w:name="_Toc16162"/>
      <w:r>
        <w:rPr>
          <w:rFonts w:hint="eastAsia" w:ascii="宋体" w:hAnsi="宋体" w:eastAsia="宋体" w:cs="宋体"/>
          <w:b/>
          <w:color w:val="auto"/>
          <w:sz w:val="24"/>
          <w:szCs w:val="24"/>
          <w:highlight w:val="none"/>
        </w:rPr>
        <w:t>第八条  甲方的权利和义务</w:t>
      </w:r>
      <w:bookmarkEnd w:id="21"/>
    </w:p>
    <w:p w14:paraId="47861C3A">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3.根据本合同规定，按时向乙方支付应付服务费用。</w:t>
      </w:r>
    </w:p>
    <w:p w14:paraId="29CDC53C">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4.国家法律、法规所规定由甲方承担的其它责任。</w:t>
      </w:r>
    </w:p>
    <w:p w14:paraId="13DD6CDA">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2" w:name="_Toc27740"/>
      <w:r>
        <w:rPr>
          <w:rFonts w:hint="eastAsia" w:ascii="宋体" w:hAnsi="宋体" w:eastAsia="宋体" w:cs="宋体"/>
          <w:b/>
          <w:color w:val="auto"/>
          <w:sz w:val="24"/>
          <w:szCs w:val="24"/>
          <w:highlight w:val="none"/>
        </w:rPr>
        <w:t>第九条  乙方的权利和义务</w:t>
      </w:r>
      <w:bookmarkEnd w:id="22"/>
    </w:p>
    <w:p w14:paraId="324921E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5.国家法律、法规所规定由乙方承担的其它责任。</w:t>
      </w:r>
    </w:p>
    <w:p w14:paraId="3CD13FB8">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3" w:name="_Toc25988"/>
      <w:r>
        <w:rPr>
          <w:rFonts w:hint="eastAsia" w:ascii="宋体" w:hAnsi="宋体" w:eastAsia="宋体" w:cs="宋体"/>
          <w:b/>
          <w:color w:val="auto"/>
          <w:sz w:val="24"/>
          <w:szCs w:val="24"/>
          <w:highlight w:val="none"/>
        </w:rPr>
        <w:t>第十条  违约责任</w:t>
      </w:r>
      <w:bookmarkEnd w:id="23"/>
    </w:p>
    <w:p w14:paraId="592D9418">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24" w:name="_Toc26448"/>
      <w:bookmarkStart w:id="25" w:name="_Toc238984980"/>
      <w:bookmarkStart w:id="26" w:name="_Toc241833908"/>
      <w:bookmarkStart w:id="27" w:name="_Toc225670756"/>
      <w:bookmarkStart w:id="28" w:name="_Toc239568423"/>
      <w:bookmarkStart w:id="29" w:name="_Toc185395254"/>
      <w:bookmarkStart w:id="30" w:name="_Toc239233919"/>
      <w:bookmarkStart w:id="31" w:name="_Toc251768867"/>
      <w:bookmarkStart w:id="32" w:name="_Toc286993792"/>
      <w:bookmarkStart w:id="33" w:name="_Toc247334846"/>
      <w:bookmarkStart w:id="34" w:name="_Toc232492933"/>
      <w:bookmarkStart w:id="35" w:name="_Toc211911353"/>
      <w:bookmarkStart w:id="36" w:name="_Toc225244857"/>
      <w:bookmarkStart w:id="37" w:name="_Toc212019599"/>
      <w:bookmarkStart w:id="38" w:name="_Toc211854454"/>
      <w:bookmarkStart w:id="39" w:name="_Toc225654649"/>
      <w:bookmarkStart w:id="40" w:name="_Toc237145411"/>
      <w:r>
        <w:rPr>
          <w:rFonts w:hint="eastAsia" w:ascii="宋体" w:hAnsi="宋体" w:eastAsia="宋体" w:cs="宋体"/>
          <w:b/>
          <w:sz w:val="24"/>
          <w:szCs w:val="24"/>
          <w:highlight w:val="none"/>
        </w:rPr>
        <w:t>第十一条  不可抗力事件处理</w:t>
      </w:r>
      <w:bookmarkEnd w:id="24"/>
    </w:p>
    <w:p w14:paraId="23CADF6C">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3.不可抗力事件延续</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天以上，双方应通过友好协商，确定是否继续履行合同。</w:t>
      </w:r>
    </w:p>
    <w:p w14:paraId="150CD1EA">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kern w:val="0"/>
          <w:sz w:val="24"/>
          <w:szCs w:val="24"/>
          <w:highlight w:val="none"/>
        </w:rPr>
      </w:pPr>
      <w:bookmarkStart w:id="41" w:name="_Toc20448"/>
      <w:r>
        <w:rPr>
          <w:rFonts w:hint="eastAsia" w:ascii="宋体" w:hAnsi="宋体" w:eastAsia="宋体" w:cs="宋体"/>
          <w:b/>
          <w:sz w:val="24"/>
          <w:szCs w:val="24"/>
          <w:highlight w:val="none"/>
        </w:rPr>
        <w:t xml:space="preserve">第十二条  </w:t>
      </w:r>
      <w:r>
        <w:rPr>
          <w:rFonts w:hint="eastAsia" w:ascii="宋体" w:hAnsi="宋体" w:eastAsia="宋体" w:cs="宋体"/>
          <w:b/>
          <w:kern w:val="0"/>
          <w:sz w:val="24"/>
          <w:szCs w:val="24"/>
          <w:highlight w:val="none"/>
        </w:rPr>
        <w:t>合同的变更和终止</w:t>
      </w:r>
      <w:bookmarkEnd w:id="41"/>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153C664">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bookmarkStart w:id="42" w:name="_Toc239568424"/>
      <w:bookmarkStart w:id="43" w:name="_Toc225654650"/>
      <w:bookmarkStart w:id="44" w:name="_Toc247334847"/>
      <w:bookmarkStart w:id="45" w:name="_Toc241833909"/>
      <w:bookmarkStart w:id="46" w:name="_Toc232492934"/>
      <w:bookmarkStart w:id="47" w:name="_Toc212019600"/>
      <w:bookmarkStart w:id="48" w:name="_Toc238984981"/>
      <w:bookmarkStart w:id="49" w:name="_Toc237145412"/>
      <w:bookmarkStart w:id="50" w:name="_Toc225244858"/>
      <w:bookmarkStart w:id="51" w:name="_Toc286993793"/>
      <w:bookmarkStart w:id="52" w:name="_Toc251768868"/>
      <w:bookmarkStart w:id="53" w:name="_Toc225670757"/>
      <w:bookmarkStart w:id="54" w:name="_Toc282696231"/>
      <w:bookmarkStart w:id="55" w:name="_Toc283019219"/>
      <w:bookmarkStart w:id="56" w:name="_Toc211854455"/>
      <w:bookmarkStart w:id="57" w:name="_Toc211911354"/>
      <w:bookmarkStart w:id="58" w:name="_Toc239233920"/>
      <w:bookmarkStart w:id="59" w:name="_Toc185395255"/>
      <w:r>
        <w:rPr>
          <w:rFonts w:hint="eastAsia" w:ascii="宋体" w:hAnsi="宋体" w:eastAsia="宋体" w:cs="宋体"/>
          <w:kern w:val="0"/>
          <w:sz w:val="24"/>
          <w:szCs w:val="24"/>
          <w:highlight w:val="none"/>
        </w:rPr>
        <w:t>除《中华人民共和国政府采购法》第49条、第50条第二款规定的情形外，本合同一经签订，甲乙双方不得擅自变更、中止或终止合同。</w:t>
      </w:r>
    </w:p>
    <w:p w14:paraId="54DAE590">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0" w:name="_Toc32004"/>
      <w:r>
        <w:rPr>
          <w:rFonts w:hint="eastAsia" w:ascii="宋体" w:hAnsi="宋体" w:eastAsia="宋体" w:cs="宋体"/>
          <w:b/>
          <w:sz w:val="24"/>
          <w:szCs w:val="24"/>
          <w:highlight w:val="none"/>
        </w:rPr>
        <w:t>第十三条  解决合同纠纷的方式</w:t>
      </w:r>
      <w:bookmarkEnd w:id="60"/>
    </w:p>
    <w:p w14:paraId="4FE3AE9E">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1、在执行本合同中发生的或与本合同有关的争端，双方应通过友好协商解决，经协商在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天内不能达成协议时，</w:t>
      </w:r>
      <w:r>
        <w:rPr>
          <w:rFonts w:hint="eastAsia" w:ascii="宋体" w:hAnsi="宋体" w:eastAsia="宋体" w:cs="宋体"/>
          <w:kern w:val="0"/>
          <w:sz w:val="24"/>
          <w:szCs w:val="24"/>
          <w:highlight w:val="none"/>
        </w:rPr>
        <w:t>则采取以下第</w:t>
      </w:r>
      <w:r>
        <w:rPr>
          <w:rFonts w:hint="eastAsia" w:ascii="宋体" w:hAnsi="宋体" w:eastAsia="宋体" w:cs="宋体"/>
          <w:kern w:val="0"/>
          <w:sz w:val="24"/>
          <w:szCs w:val="24"/>
          <w:highlight w:val="none"/>
          <w:u w:val="single"/>
        </w:rPr>
        <w:t xml:space="preserve"> 1 </w:t>
      </w:r>
      <w:r>
        <w:rPr>
          <w:rFonts w:hint="eastAsia" w:ascii="宋体" w:hAnsi="宋体" w:eastAsia="宋体" w:cs="宋体"/>
          <w:kern w:val="0"/>
          <w:sz w:val="24"/>
          <w:szCs w:val="24"/>
          <w:highlight w:val="none"/>
        </w:rPr>
        <w:t>种方式解决争议：</w:t>
      </w:r>
    </w:p>
    <w:p w14:paraId="7C2DBC09">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（1）向甲方所在地有管辖权的人民法院提起诉讼；</w:t>
      </w:r>
    </w:p>
    <w:p w14:paraId="0A570BB4">
      <w:pPr>
        <w:pStyle w:val="11"/>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仲裁委员会按其仲裁规则申请仲裁。</w:t>
      </w:r>
    </w:p>
    <w:p w14:paraId="139B969D">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2、在仲裁期间，本合同应继续履行。</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9274063">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1" w:name="_Toc28433"/>
      <w:r>
        <w:rPr>
          <w:rFonts w:hint="eastAsia" w:ascii="宋体" w:hAnsi="宋体" w:eastAsia="宋体" w:cs="宋体"/>
          <w:b/>
          <w:sz w:val="24"/>
          <w:szCs w:val="24"/>
          <w:highlight w:val="none"/>
        </w:rPr>
        <w:t>第十四条  合同生效及其他</w:t>
      </w:r>
      <w:bookmarkEnd w:id="61"/>
    </w:p>
    <w:p w14:paraId="185BB2B4">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1、合同经双方法定代表人（单位负责人）或授权委托代理人签字并加盖单位公章并由采购代理机构盖章后生效。</w:t>
      </w:r>
    </w:p>
    <w:p w14:paraId="7F00FA07">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2967F43E">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3、项目响应文件</w:t>
      </w:r>
    </w:p>
    <w:p w14:paraId="06DC7E17">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1B06AB14">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7EECCDA8">
      <w:pPr>
        <w:keepNext w:val="0"/>
        <w:keepLines w:val="0"/>
        <w:pageBreakBefore w:val="0"/>
        <w:kinsoku/>
        <w:wordWrap/>
        <w:overflowPunct/>
        <w:topLinePunct w:val="0"/>
        <w:autoSpaceDE/>
        <w:autoSpaceDN/>
        <w:bidi w:val="0"/>
        <w:spacing w:line="360" w:lineRule="auto"/>
        <w:rPr>
          <w:rFonts w:hint="eastAsia" w:hAnsi="宋体"/>
          <w:b/>
          <w:bCs/>
          <w:color w:val="000000"/>
          <w:kern w:val="2"/>
          <w:sz w:val="36"/>
          <w:szCs w:val="36"/>
          <w:highlight w:val="none"/>
          <w:lang w:val="en-US" w:eastAsia="zh-CN"/>
        </w:rPr>
      </w:pPr>
      <w:r>
        <w:rPr>
          <w:rFonts w:hint="eastAsia" w:hAnsi="宋体"/>
          <w:b/>
          <w:bCs/>
          <w:color w:val="000000"/>
          <w:kern w:val="2"/>
          <w:sz w:val="36"/>
          <w:szCs w:val="36"/>
          <w:highlight w:val="none"/>
          <w:lang w:val="en-US" w:eastAsia="zh-CN"/>
        </w:rPr>
        <w:br w:type="page"/>
      </w:r>
    </w:p>
    <w:p w14:paraId="491CF86B">
      <w:pPr>
        <w:pStyle w:val="12"/>
        <w:keepNext w:val="0"/>
        <w:keepLines w:val="0"/>
        <w:pageBreakBefore w:val="0"/>
        <w:kinsoku/>
        <w:wordWrap/>
        <w:overflowPunct/>
        <w:topLinePunct w:val="0"/>
        <w:autoSpaceDE/>
        <w:autoSpaceDN/>
        <w:bidi w:val="0"/>
        <w:snapToGrid/>
        <w:spacing w:line="360" w:lineRule="auto"/>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（以下无正文）</w:t>
      </w:r>
    </w:p>
    <w:p w14:paraId="14F98BB1">
      <w:pPr>
        <w:pStyle w:val="4"/>
        <w:keepNext w:val="0"/>
        <w:keepLines w:val="0"/>
        <w:pageBreakBefore w:val="0"/>
        <w:kinsoku/>
        <w:wordWrap/>
        <w:overflowPunct/>
        <w:topLinePunct w:val="0"/>
        <w:autoSpaceDE/>
        <w:autoSpaceDN/>
        <w:bidi w:val="0"/>
        <w:spacing w:line="360" w:lineRule="auto"/>
        <w:rPr>
          <w:rFonts w:hint="eastAsia" w:hAnsi="宋体"/>
          <w:b/>
          <w:bCs/>
          <w:color w:val="000000"/>
          <w:sz w:val="36"/>
          <w:szCs w:val="36"/>
          <w:highlight w:val="none"/>
        </w:rPr>
      </w:pPr>
    </w:p>
    <w:p w14:paraId="5E0AFCAD">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甲方：   （盖章）</w:t>
      </w:r>
      <w:r>
        <w:rPr>
          <w:rFonts w:hAnsi="宋体"/>
          <w:color w:val="000000"/>
          <w:highlight w:val="none"/>
        </w:rPr>
        <w:t xml:space="preserve">   </w:t>
      </w:r>
      <w:r>
        <w:rPr>
          <w:rFonts w:hAnsi="宋体"/>
          <w:color w:val="000000"/>
          <w:highlight w:val="none"/>
        </w:rPr>
        <w:tab/>
      </w:r>
      <w:r>
        <w:rPr>
          <w:rFonts w:hAnsi="宋体"/>
          <w:color w:val="000000"/>
          <w:highlight w:val="none"/>
        </w:rPr>
        <w:tab/>
      </w:r>
      <w:r>
        <w:rPr>
          <w:rFonts w:hAnsi="宋体"/>
          <w:color w:val="000000"/>
          <w:highlight w:val="none"/>
        </w:rPr>
        <w:tab/>
      </w:r>
      <w:r>
        <w:rPr>
          <w:rFonts w:hAnsi="宋体"/>
          <w:color w:val="000000"/>
          <w:highlight w:val="none"/>
        </w:rPr>
        <w:t xml:space="preserve">    </w:t>
      </w:r>
      <w:r>
        <w:rPr>
          <w:rFonts w:hint="eastAsia"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乙方：</w:t>
      </w:r>
      <w:r>
        <w:rPr>
          <w:rFonts w:hAnsi="宋体"/>
          <w:color w:val="000000"/>
          <w:highlight w:val="none"/>
        </w:rPr>
        <w:t xml:space="preserve">   </w:t>
      </w:r>
      <w:r>
        <w:rPr>
          <w:rFonts w:hint="eastAsia" w:hAnsi="宋体"/>
          <w:color w:val="000000"/>
          <w:highlight w:val="none"/>
        </w:rPr>
        <w:t>（盖章）</w:t>
      </w:r>
    </w:p>
    <w:p w14:paraId="3FD2669F">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法定代表人（单位负责人）：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法定代表人（单位负责人）：</w:t>
      </w:r>
    </w:p>
    <w:p w14:paraId="4B37190B">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地</w:t>
      </w:r>
      <w:r>
        <w:rPr>
          <w:rFonts w:hAnsi="宋体"/>
          <w:color w:val="000000"/>
          <w:highlight w:val="none"/>
        </w:rPr>
        <w:t xml:space="preserve">    </w:t>
      </w:r>
      <w:r>
        <w:rPr>
          <w:rFonts w:hint="eastAsia" w:hAnsi="宋体"/>
          <w:color w:val="000000"/>
          <w:highlight w:val="none"/>
        </w:rPr>
        <w:t>址：</w:t>
      </w:r>
      <w:r>
        <w:rPr>
          <w:rFonts w:hAnsi="宋体"/>
          <w:color w:val="000000"/>
          <w:highlight w:val="none"/>
        </w:rPr>
        <w:t xml:space="preserve">                         </w:t>
      </w:r>
      <w:r>
        <w:rPr>
          <w:rFonts w:hint="eastAsia" w:hAnsi="宋体"/>
          <w:color w:val="000000"/>
          <w:highlight w:val="none"/>
        </w:rPr>
        <w:t xml:space="preserve">    地</w:t>
      </w:r>
      <w:r>
        <w:rPr>
          <w:rFonts w:hAnsi="宋体"/>
          <w:color w:val="000000"/>
          <w:highlight w:val="none"/>
        </w:rPr>
        <w:t xml:space="preserve">    </w:t>
      </w:r>
      <w:r>
        <w:rPr>
          <w:rFonts w:hint="eastAsia" w:hAnsi="宋体"/>
          <w:color w:val="000000"/>
          <w:highlight w:val="none"/>
        </w:rPr>
        <w:t>址：</w:t>
      </w:r>
    </w:p>
    <w:p w14:paraId="48134B19">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开户银行：</w:t>
      </w:r>
      <w:r>
        <w:rPr>
          <w:rFonts w:hAnsi="宋体"/>
          <w:color w:val="000000"/>
          <w:highlight w:val="none"/>
        </w:rPr>
        <w:t xml:space="preserve">                         </w:t>
      </w:r>
      <w:r>
        <w:rPr>
          <w:rFonts w:hint="eastAsia" w:hAnsi="宋体"/>
          <w:color w:val="000000"/>
          <w:highlight w:val="none"/>
        </w:rPr>
        <w:t xml:space="preserve">    开户银行：</w:t>
      </w:r>
    </w:p>
    <w:p w14:paraId="4317F6EC">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账号：</w:t>
      </w:r>
      <w:r>
        <w:rPr>
          <w:rFonts w:hAnsi="宋体"/>
          <w:color w:val="000000"/>
          <w:highlight w:val="none"/>
        </w:rPr>
        <w:t xml:space="preserve">                             </w:t>
      </w:r>
      <w:r>
        <w:rPr>
          <w:rFonts w:hint="eastAsia" w:hAnsi="宋体"/>
          <w:color w:val="000000"/>
          <w:highlight w:val="none"/>
        </w:rPr>
        <w:t xml:space="preserve">    账号：</w:t>
      </w:r>
    </w:p>
    <w:p w14:paraId="454C7060">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电</w:t>
      </w:r>
      <w:r>
        <w:rPr>
          <w:rFonts w:hAnsi="宋体"/>
          <w:color w:val="000000"/>
          <w:highlight w:val="none"/>
        </w:rPr>
        <w:t xml:space="preserve">    </w:t>
      </w:r>
      <w:r>
        <w:rPr>
          <w:rFonts w:hint="eastAsia" w:hAnsi="宋体"/>
          <w:color w:val="000000"/>
          <w:highlight w:val="none"/>
        </w:rPr>
        <w:t>话：</w:t>
      </w:r>
      <w:r>
        <w:rPr>
          <w:rFonts w:hAnsi="宋体"/>
          <w:color w:val="000000"/>
          <w:highlight w:val="none"/>
        </w:rPr>
        <w:t xml:space="preserve">                        </w:t>
      </w:r>
      <w:r>
        <w:rPr>
          <w:rFonts w:hint="eastAsia" w:hAnsi="宋体"/>
          <w:color w:val="000000"/>
          <w:highlight w:val="none"/>
        </w:rPr>
        <w:t xml:space="preserve">   </w:t>
      </w:r>
      <w:r>
        <w:rPr>
          <w:rFonts w:hAnsi="宋体"/>
          <w:color w:val="000000"/>
          <w:highlight w:val="none"/>
        </w:rPr>
        <w:t xml:space="preserve"> </w:t>
      </w:r>
      <w:r>
        <w:rPr>
          <w:rFonts w:hint="eastAsia" w:hAnsi="宋体"/>
          <w:color w:val="000000"/>
          <w:highlight w:val="none"/>
        </w:rPr>
        <w:t xml:space="preserve"> 电</w:t>
      </w:r>
      <w:r>
        <w:rPr>
          <w:rFonts w:hAnsi="宋体"/>
          <w:color w:val="000000"/>
          <w:highlight w:val="none"/>
        </w:rPr>
        <w:t xml:space="preserve">    </w:t>
      </w:r>
      <w:r>
        <w:rPr>
          <w:rFonts w:hint="eastAsia" w:hAnsi="宋体"/>
          <w:color w:val="000000"/>
          <w:highlight w:val="none"/>
        </w:rPr>
        <w:t>话：</w:t>
      </w:r>
    </w:p>
    <w:p w14:paraId="169AA972">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传</w:t>
      </w:r>
      <w:r>
        <w:rPr>
          <w:rFonts w:hAnsi="宋体"/>
          <w:color w:val="000000"/>
          <w:highlight w:val="none"/>
        </w:rPr>
        <w:t xml:space="preserve">    </w:t>
      </w:r>
      <w:r>
        <w:rPr>
          <w:rFonts w:hint="eastAsia" w:hAnsi="宋体"/>
          <w:color w:val="000000"/>
          <w:highlight w:val="none"/>
        </w:rPr>
        <w:t>真：</w:t>
      </w:r>
      <w:r>
        <w:rPr>
          <w:rFonts w:hAnsi="宋体"/>
          <w:color w:val="000000"/>
          <w:highlight w:val="none"/>
        </w:rPr>
        <w:t xml:space="preserve">                        </w:t>
      </w:r>
      <w:r>
        <w:rPr>
          <w:rFonts w:hint="eastAsia" w:hAnsi="宋体"/>
          <w:color w:val="000000"/>
          <w:highlight w:val="none"/>
        </w:rPr>
        <w:t xml:space="preserve">   </w:t>
      </w:r>
      <w:r>
        <w:rPr>
          <w:rFonts w:hAnsi="宋体"/>
          <w:color w:val="000000"/>
          <w:highlight w:val="none"/>
        </w:rPr>
        <w:t xml:space="preserve"> </w:t>
      </w:r>
      <w:r>
        <w:rPr>
          <w:rFonts w:hint="eastAsia" w:hAnsi="宋体"/>
          <w:color w:val="000000"/>
          <w:highlight w:val="none"/>
        </w:rPr>
        <w:t xml:space="preserve"> 传</w:t>
      </w:r>
      <w:r>
        <w:rPr>
          <w:rFonts w:hAnsi="宋体"/>
          <w:color w:val="000000"/>
          <w:highlight w:val="none"/>
        </w:rPr>
        <w:t xml:space="preserve">    </w:t>
      </w:r>
      <w:r>
        <w:rPr>
          <w:rFonts w:hint="eastAsia" w:hAnsi="宋体"/>
          <w:color w:val="000000"/>
          <w:highlight w:val="none"/>
        </w:rPr>
        <w:t>真：</w:t>
      </w:r>
    </w:p>
    <w:p w14:paraId="4EB536DE">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签约日期：  年   月  日</w:t>
      </w:r>
      <w:r>
        <w:rPr>
          <w:rFonts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签约日期：  年   月  日</w:t>
      </w:r>
    </w:p>
    <w:p w14:paraId="261B3139">
      <w:pPr>
        <w:keepNext w:val="0"/>
        <w:keepLines w:val="0"/>
        <w:pageBreakBefore w:val="0"/>
        <w:kinsoku/>
        <w:wordWrap/>
        <w:overflowPunct/>
        <w:topLinePunct w:val="0"/>
        <w:autoSpaceDE/>
        <w:autoSpaceDN/>
        <w:bidi w:val="0"/>
        <w:spacing w:line="360" w:lineRule="auto"/>
        <w:rPr>
          <w:highlight w:val="none"/>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7901AAF"/>
    <w:rsid w:val="0AEF463C"/>
    <w:rsid w:val="0DD72B32"/>
    <w:rsid w:val="12375A30"/>
    <w:rsid w:val="1AA832AB"/>
    <w:rsid w:val="1DF80CBB"/>
    <w:rsid w:val="37901AAF"/>
    <w:rsid w:val="3D4C7565"/>
    <w:rsid w:val="46D7531D"/>
    <w:rsid w:val="4BE15ACD"/>
    <w:rsid w:val="4D981AED"/>
    <w:rsid w:val="4F1461B2"/>
    <w:rsid w:val="644B6B6B"/>
    <w:rsid w:val="64617D51"/>
    <w:rsid w:val="78006A66"/>
    <w:rsid w:val="78DA4543"/>
    <w:rsid w:val="796C3F60"/>
    <w:rsid w:val="79F47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toc 1"/>
    <w:basedOn w:val="1"/>
    <w:next w:val="1"/>
    <w:qFormat/>
    <w:uiPriority w:val="39"/>
  </w:style>
  <w:style w:type="paragraph" w:styleId="6">
    <w:name w:val="Normal (Web)"/>
    <w:basedOn w:val="1"/>
    <w:uiPriority w:val="0"/>
    <w:rPr>
      <w:sz w:val="24"/>
    </w:rPr>
  </w:style>
  <w:style w:type="paragraph" w:styleId="7">
    <w:name w:val="Body Text First Indent"/>
    <w:basedOn w:val="3"/>
    <w:qFormat/>
    <w:uiPriority w:val="0"/>
    <w:rPr>
      <w:rFonts w:hAnsi="宋体"/>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首行缩进:  2 字符"/>
    <w:basedOn w:val="1"/>
    <w:qFormat/>
    <w:uiPriority w:val="0"/>
    <w:pPr>
      <w:spacing w:line="400" w:lineRule="exact"/>
      <w:ind w:firstLine="200" w:firstLineChars="200"/>
    </w:pPr>
    <w:rPr>
      <w:rFonts w:cs="宋体"/>
      <w:sz w:val="24"/>
    </w:rPr>
  </w:style>
  <w:style w:type="paragraph" w:styleId="12">
    <w:name w:val="List Paragraph"/>
    <w:basedOn w:val="1"/>
    <w:qFormat/>
    <w:uiPriority w:val="34"/>
    <w:pPr>
      <w:ind w:firstLine="420" w:firstLineChars="200"/>
    </w:pPr>
    <w:rPr>
      <w:rFonts w:ascii="Calibri" w:hAnsi="Calibri"/>
      <w:kern w:val="2"/>
      <w:sz w:val="21"/>
      <w:szCs w:val="22"/>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4315</Words>
  <Characters>4451</Characters>
  <Lines>0</Lines>
  <Paragraphs>0</Paragraphs>
  <TotalTime>2</TotalTime>
  <ScaleCrop>false</ScaleCrop>
  <LinksUpToDate>false</LinksUpToDate>
  <CharactersWithSpaces>4839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2023-12-12T05:53:00Z</dcterms:created>
  <dc:creator>爽爽</dc:creator>
  <cp:lastModifiedBy>11</cp:lastModifiedBy>
  <dcterms:modified xsi:type="dcterms:W3CDTF">2026-07-24T08:31:05Z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C9D8403BB9A7438396908D2B0FCEAAB3_11</vt:lpwstr>
  </property>
  <property fmtid="{D5CDD505-2E9C-101B-9397-08002B2CF9AE}" pid="4" name="KSOTemplateDocerSaveRecord">
    <vt:lpwstr>eyJoZGlkIjoiNzY0NzcyNTM5MDIwNTNmMTRiZjQyNTdiYWFkOGZiMTgiLCJ1c2VySWQiOiIxMDExMTg2NzE1In0=</vt:lpwstr>
  </property>
</Properties>
</file>