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版本号：ZTZLZC-XA2026-072720260813001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蓝皮书落地技术支撑服务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ZTZLZC-XA2026-0727</w:t>
      </w:r>
      <w:r>
        <w:br/>
      </w:r>
      <w:r>
        <w:br/>
      </w:r>
      <w:r>
        <w:br/>
      </w:r>
    </w:p>
    <w:p>
      <w:pPr>
        <w:pStyle w:val="null3"/>
        <w:jc w:val="center"/>
        <w:outlineLvl w:val="2"/>
      </w:pPr>
      <w:r>
        <w:rPr>
          <w:rFonts w:ascii="仿宋_GB2312" w:hAnsi="仿宋_GB2312" w:cs="仿宋_GB2312" w:eastAsia="仿宋_GB2312"/>
          <w:sz w:val="28"/>
          <w:b/>
        </w:rPr>
        <w:t>西安市发展和改革委员会（本级）</w:t>
      </w:r>
    </w:p>
    <w:p>
      <w:pPr>
        <w:pStyle w:val="null3"/>
        <w:jc w:val="center"/>
        <w:outlineLvl w:val="2"/>
      </w:pPr>
      <w:r>
        <w:rPr>
          <w:rFonts w:ascii="仿宋_GB2312" w:hAnsi="仿宋_GB2312" w:cs="仿宋_GB2312" w:eastAsia="仿宋_GB2312"/>
          <w:sz w:val="28"/>
          <w:b/>
        </w:rPr>
        <w:t>陕西中天正略企业运营发展有限公司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陕西中天正略企业运营发展有限公司</w:t>
      </w:r>
      <w:r>
        <w:rPr>
          <w:rFonts w:ascii="仿宋_GB2312" w:hAnsi="仿宋_GB2312" w:cs="仿宋_GB2312" w:eastAsia="仿宋_GB2312"/>
        </w:rPr>
        <w:t>（以下简称“代理机构”）受</w:t>
      </w:r>
      <w:r>
        <w:rPr>
          <w:rFonts w:ascii="仿宋_GB2312" w:hAnsi="仿宋_GB2312" w:cs="仿宋_GB2312" w:eastAsia="仿宋_GB2312"/>
        </w:rPr>
        <w:t>西安市发展和改革委员会（本级）</w:t>
      </w:r>
      <w:r>
        <w:rPr>
          <w:rFonts w:ascii="仿宋_GB2312" w:hAnsi="仿宋_GB2312" w:cs="仿宋_GB2312" w:eastAsia="仿宋_GB2312"/>
        </w:rPr>
        <w:t>委托，拟对</w:t>
      </w:r>
      <w:r>
        <w:rPr>
          <w:rFonts w:ascii="仿宋_GB2312" w:hAnsi="仿宋_GB2312" w:cs="仿宋_GB2312" w:eastAsia="仿宋_GB2312"/>
        </w:rPr>
        <w:t>蓝皮书落地技术支撑服务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ZTZLZC-XA2026-0727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蓝皮书落地技术支撑服务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动蓝皮书项目落地，拟委托第三方机构做好后续项目落地的技术支撑与服务保障工作，包括但不限于：为储能电站、综合能源服务站和大功率充电设施的项目选址、用地预审、规划设计等提供全过程技术咨询与指导；配合各区县、西咸新区、各开发区开展三类设施的项目落地实施工作；协助做好规划实施的动态监测、评估与调整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2、企业资质：供应商须具备自然资源主管部门核发的城乡规划（国土空间规划）编制乙级及以上资质；</w:t>
      </w:r>
    </w:p>
    <w:p>
      <w:pPr>
        <w:pStyle w:val="null3"/>
      </w:pPr>
      <w:r>
        <w:rPr>
          <w:rFonts w:ascii="仿宋_GB2312" w:hAnsi="仿宋_GB2312" w:cs="仿宋_GB2312" w:eastAsia="仿宋_GB2312"/>
        </w:rPr>
        <w:t>3、项目负责人：拟派项目负责人须具备注册城乡规划师执业资格或持有如城乡规划或国土空间规划或交通规划等相关专业高级工程师及以上技术职称；</w:t>
      </w:r>
    </w:p>
    <w:p>
      <w:pPr>
        <w:pStyle w:val="null3"/>
      </w:pPr>
      <w:r>
        <w:rPr>
          <w:rFonts w:ascii="仿宋_GB2312" w:hAnsi="仿宋_GB2312" w:cs="仿宋_GB2312" w:eastAsia="仿宋_GB2312"/>
        </w:rPr>
        <w:t>4、授权委托书：供应商应授权合法的人员参加投标：法定代表人直接参加投标，须出具法定代表人身份证明；法定代表人授权代表参加投标，须出具法定代表人授权书；</w:t>
      </w:r>
    </w:p>
    <w:p>
      <w:pPr>
        <w:pStyle w:val="null3"/>
      </w:pPr>
      <w:r>
        <w:rPr>
          <w:rFonts w:ascii="仿宋_GB2312" w:hAnsi="仿宋_GB2312" w:cs="仿宋_GB2312" w:eastAsia="仿宋_GB2312"/>
        </w:rPr>
        <w:t>5、财务状况报告：提供2025年度的财务审计报告或开标前六个月内其基本账户银行出具的资信证明或财政部门认可的政府采购专业担保机构出具的担保函；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6、税收缴纳证明：开标前近六个月内至少一个月的纳税凭证/证明，依法免税的应提供相关证明材料；</w:t>
      </w:r>
    </w:p>
    <w:p>
      <w:pPr>
        <w:pStyle w:val="null3"/>
      </w:pPr>
      <w:r>
        <w:rPr>
          <w:rFonts w:ascii="仿宋_GB2312" w:hAnsi="仿宋_GB2312" w:cs="仿宋_GB2312" w:eastAsia="仿宋_GB2312"/>
        </w:rPr>
        <w:t>7、社会保障资金缴纳证明：开标前近六个月内至少一个月的社会保障资金缴纳凭证/证明，依法不需要缴纳的应提供相关证明材料；</w:t>
      </w:r>
    </w:p>
    <w:p>
      <w:pPr>
        <w:pStyle w:val="null3"/>
      </w:pPr>
      <w:r>
        <w:rPr>
          <w:rFonts w:ascii="仿宋_GB2312" w:hAnsi="仿宋_GB2312" w:cs="仿宋_GB2312" w:eastAsia="仿宋_GB2312"/>
        </w:rPr>
        <w:t>8、履约承诺：提供具有履行本合同所必需的设备和专业技术能力的说明或承诺书；</w:t>
      </w:r>
    </w:p>
    <w:p>
      <w:pPr>
        <w:pStyle w:val="null3"/>
      </w:pPr>
      <w:r>
        <w:rPr>
          <w:rFonts w:ascii="仿宋_GB2312" w:hAnsi="仿宋_GB2312" w:cs="仿宋_GB2312" w:eastAsia="仿宋_GB2312"/>
        </w:rPr>
        <w:t>9、书面声明：参加本次投标前3年内，在经营活动中没有重大违法记录的书面声明</w:t>
      </w:r>
    </w:p>
    <w:p>
      <w:pPr>
        <w:pStyle w:val="null3"/>
      </w:pPr>
      <w:r>
        <w:rPr>
          <w:rFonts w:ascii="仿宋_GB2312" w:hAnsi="仿宋_GB2312" w:cs="仿宋_GB2312" w:eastAsia="仿宋_GB2312"/>
        </w:rPr>
        <w:t>10、信用截图：供应商不得被列入“中国执行信息公开网”（http：//zxgk.court.gov.cn）失信被执行人，不得被列入“信用中国”网站（www.creditchina.gov.cn）重大税收违法失信主体，不得被列入“中国政府采购网”（www.ccgp.gov.cn）政府采购严重违法失信行为记录名单。</w:t>
      </w:r>
    </w:p>
    <w:p>
      <w:pPr>
        <w:pStyle w:val="null3"/>
      </w:pPr>
      <w:r>
        <w:rPr>
          <w:rFonts w:ascii="仿宋_GB2312" w:hAnsi="仿宋_GB2312" w:cs="仿宋_GB2312" w:eastAsia="仿宋_GB2312"/>
        </w:rPr>
        <w:t>11、不接受联合体投标：本项目不接受联合体投标。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西安市未央区汉城街道凤城八路109号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申振强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029-67096245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陕西中天正略企业运营发展有限公司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西安曲江新区翠华路500号佳和中心B座26层3号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029-89660303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代理服务费收费标准：根据发改价格[2011]534号文件及《国家发展改革委关于进一步放开建设项目专业服务价格的通知》（发改价格〔2015〕299号）文规定收取代理服务费。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西安市发展和改革委员会（本级）</w:t>
      </w:r>
      <w:r>
        <w:rPr>
          <w:rFonts w:ascii="仿宋_GB2312" w:hAnsi="仿宋_GB2312" w:cs="仿宋_GB2312" w:eastAsia="仿宋_GB2312"/>
        </w:rPr>
        <w:t>和</w:t>
      </w:r>
      <w:r>
        <w:rPr>
          <w:rFonts w:ascii="仿宋_GB2312" w:hAnsi="仿宋_GB2312" w:cs="仿宋_GB2312" w:eastAsia="仿宋_GB2312"/>
        </w:rPr>
        <w:t>陕西中天正略企业运营发展有限公司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西安市发展和改革委员会（本级）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陕西中天正略企业运营发展有限公司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陕西中天正略企业运营发展有限公司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双方协商确定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电力设施保护条例》、《电化学储能电站设计规范》（GB51048－2025）、《建筑设计防火规范》（GB50016）、《汽车加油加气加氢站技术标准》（GB50156－2021）、《电动汽车充电站设计标准》（GB/T50966－2024）等规范要求 2、符合《西安市国土空间总体规划（2021-2035）》以及详细规划，符合《西安市“十五五”成品油分销体系规划》；</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陕西中天正略企业运营发展有限公司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联系人：刘钰</w:t>
      </w:r>
    </w:p>
    <w:p>
      <w:pPr>
        <w:pStyle w:val="null3"/>
      </w:pPr>
      <w:r>
        <w:rPr>
          <w:rFonts w:ascii="仿宋_GB2312" w:hAnsi="仿宋_GB2312" w:cs="仿宋_GB2312" w:eastAsia="仿宋_GB2312"/>
        </w:rPr>
        <w:t>联系电话：029-89660303</w:t>
      </w:r>
    </w:p>
    <w:p>
      <w:pPr>
        <w:pStyle w:val="null3"/>
      </w:pPr>
      <w:r>
        <w:rPr>
          <w:rFonts w:ascii="仿宋_GB2312" w:hAnsi="仿宋_GB2312" w:cs="仿宋_GB2312" w:eastAsia="仿宋_GB2312"/>
        </w:rPr>
        <w:t>地址：西安曲江新区翠华路500号佳和中心B座26层3号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动蓝皮书项目落地，拟委托第三方机构做好后续项目落地的技术支撑与服务保障工作，包括但不限于：为储能电站、综合能源服务站和大功率充电设施的项目选址、用地预审、规划设计等提供全过程技术咨询与指导；配合各区县、西咸新区、各开发区开展三类设施的项目落地实施工作；协助做好规划实施的动态监测、评估与调整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蓝皮书落地技术支撑服务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标的名称：蓝皮书落地技术支撑服务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工作内容</w:t>
            </w:r>
          </w:p>
          <w:p>
            <w:pPr>
              <w:pStyle w:val="null3"/>
              <w:ind w:firstLine="480"/>
              <w:jc w:val="both"/>
            </w:pPr>
            <w:r>
              <w:rPr>
                <w:rFonts w:ascii="仿宋_GB2312" w:hAnsi="仿宋_GB2312" w:cs="仿宋_GB2312" w:eastAsia="仿宋_GB2312"/>
                <w:sz w:val="24"/>
              </w:rPr>
              <w:t>1、充分解读《西安市储能电站、综合能源服务站和大功率充电设施布局规划蓝皮书》（以下简称蓝皮书），从国家政策、城市发展、居民服务等方面对储能电站、综合能源服务站、大功率充电设施三类设施建设进行必要性分析；</w:t>
            </w:r>
          </w:p>
          <w:p>
            <w:pPr>
              <w:pStyle w:val="null3"/>
              <w:ind w:firstLine="480"/>
              <w:jc w:val="both"/>
            </w:pPr>
            <w:r>
              <w:rPr>
                <w:rFonts w:ascii="仿宋_GB2312" w:hAnsi="仿宋_GB2312" w:cs="仿宋_GB2312" w:eastAsia="仿宋_GB2312"/>
                <w:sz w:val="24"/>
              </w:rPr>
              <w:t>2、现状用地调查分析，为蓝皮书中涉及的能源供应设施选址及规划设计等提供支撑，应包含但不限于以下几个方面：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1）设施及周边用地现状用地性质、建设情况；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2）设施及周边用地现状用地土地供应情况；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3）设施及周边现状用电、用水等市政设施供应情况；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4）设施及用地与周边现状用地、建筑的邻避关系；</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5）设施用地周边限制性因素；</w:t>
            </w:r>
          </w:p>
          <w:p>
            <w:pPr>
              <w:pStyle w:val="null3"/>
              <w:ind w:firstLine="480"/>
              <w:jc w:val="both"/>
            </w:pPr>
            <w:r>
              <w:rPr>
                <w:rFonts w:ascii="仿宋_GB2312" w:hAnsi="仿宋_GB2312" w:cs="仿宋_GB2312" w:eastAsia="仿宋_GB2312"/>
                <w:sz w:val="24"/>
              </w:rPr>
              <w:t>3、现状交通调查分析，为蓝皮书中涉及的能源供应设施选址及规划设计等提供支撑，应包含但不限于以下几个方面：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1）设施周边现状道路建设情况；</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2）设施周边道路现状交通运营情况；</w:t>
            </w:r>
          </w:p>
          <w:p>
            <w:pPr>
              <w:pStyle w:val="null3"/>
              <w:ind w:firstLine="480"/>
              <w:jc w:val="both"/>
            </w:pPr>
            <w:r>
              <w:rPr>
                <w:rFonts w:ascii="仿宋_GB2312" w:hAnsi="仿宋_GB2312" w:cs="仿宋_GB2312" w:eastAsia="仿宋_GB2312"/>
                <w:sz w:val="24"/>
              </w:rPr>
              <w:t>4、蓝皮书中涉及的能源设施布局与国土空间规划以及其他相关规划的符合性分析，为设施落地建设提供支撑，应包含但不限于以下几个方面：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1）与西安市国土空间规划（总体规划及详细规划）的符合性分析，主要包括城市功能布局、用地性质、市政设施规划等方面；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2）与西安市城市综合交通体系规划的符合性分析；</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3）与其他相关规划的符合性分析等。</w:t>
            </w:r>
          </w:p>
          <w:p>
            <w:pPr>
              <w:pStyle w:val="null3"/>
              <w:ind w:firstLine="480"/>
              <w:jc w:val="both"/>
            </w:pPr>
            <w:r>
              <w:rPr>
                <w:rFonts w:ascii="仿宋_GB2312" w:hAnsi="仿宋_GB2312" w:cs="仿宋_GB2312" w:eastAsia="仿宋_GB2312"/>
                <w:sz w:val="24"/>
              </w:rPr>
              <w:t>5、规划建设指引，为蓝皮书中涉及的能源供应设施项目规划建设提供技术指导，应包含但不限于以下几个方面：</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1）选址条件要求，包含区位、用地布局、道路交通条件、用水用电等市政设施供应条件等；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2）项目设施规模、设施安全要求（包含设施间的安全防护以及与周边建筑的邻避要求等）；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3）项目出入口设置、交通组织要求等。</w:t>
            </w:r>
          </w:p>
          <w:p>
            <w:pPr>
              <w:pStyle w:val="null3"/>
              <w:ind w:firstLine="480"/>
              <w:jc w:val="both"/>
            </w:pPr>
            <w:r>
              <w:rPr>
                <w:rFonts w:ascii="仿宋_GB2312" w:hAnsi="仿宋_GB2312" w:cs="仿宋_GB2312" w:eastAsia="仿宋_GB2312"/>
                <w:sz w:val="24"/>
              </w:rPr>
              <w:t>6、配合蓝皮书中涉及的能源供应设施项目落地过程中相关的技术咨询服务工作。</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技术要求</w:t>
            </w:r>
          </w:p>
          <w:p>
            <w:pPr>
              <w:pStyle w:val="null3"/>
              <w:ind w:firstLine="480"/>
              <w:jc w:val="both"/>
            </w:pPr>
            <w:r>
              <w:rPr>
                <w:rFonts w:ascii="仿宋_GB2312" w:hAnsi="仿宋_GB2312" w:cs="仿宋_GB2312" w:eastAsia="仿宋_GB2312"/>
                <w:sz w:val="24"/>
              </w:rPr>
              <w:t>1、满足《电力设施保护条例》、《电化学储能电站设计规范》（GB51048－2025）、《建筑设计防火规范》（GB50016）、《汽车加油加气加氢站技术标准》（GB50156－2021）、《电动汽车充电站设计标准》（GB/T50966－2024）等规范要求</w:t>
            </w:r>
          </w:p>
          <w:p>
            <w:pPr>
              <w:pStyle w:val="null3"/>
              <w:ind w:firstLine="480"/>
              <w:jc w:val="both"/>
            </w:pPr>
            <w:r>
              <w:rPr>
                <w:rFonts w:ascii="仿宋_GB2312" w:hAnsi="仿宋_GB2312" w:cs="仿宋_GB2312" w:eastAsia="仿宋_GB2312"/>
                <w:sz w:val="24"/>
              </w:rPr>
              <w:t>2、符合《西安市国土空间总体规划（2021-2035）》以及详细规划，符合《西安市“十五五”成品油分销体系规划》；</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工作成果</w:t>
            </w:r>
          </w:p>
          <w:p>
            <w:pPr>
              <w:pStyle w:val="null3"/>
              <w:ind w:firstLine="480"/>
              <w:jc w:val="both"/>
            </w:pPr>
            <w:r>
              <w:rPr>
                <w:rFonts w:ascii="仿宋_GB2312" w:hAnsi="仿宋_GB2312" w:cs="仿宋_GB2312" w:eastAsia="仿宋_GB2312"/>
                <w:sz w:val="24"/>
              </w:rPr>
              <w:t>包含但不限于以上工作内容的技术报告或说明书、图集、矢量图等纸质及电子文件，其中纸质文件</w:t>
            </w:r>
            <w:r>
              <w:rPr>
                <w:rFonts w:ascii="仿宋_GB2312" w:hAnsi="仿宋_GB2312" w:cs="仿宋_GB2312" w:eastAsia="仿宋_GB2312"/>
                <w:sz w:val="24"/>
              </w:rPr>
              <w:t>8套，电子文件1套（具体以合同约定为准）。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满足《电力设施保护条例》、《电化学储能电站设计规范》（GB51048－2025）、《建筑设计防火规范》（GB50016）、《汽车加油加气加氢站技术标准》（GB50156－2021）、《电动汽车充电站设计标准》（GB/T50966－2024）等规范要求 2、符合《西安市国土空间总体规划（2021-2035）》以及详细规划，符合《西安市“十五五”成品油分销体系规划》；</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进度款，自合同签订之日，达到付款条件起30个工作日内，支付合同总金额的30.0%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进度款，待供应商向采购人提供所有技术报告后，达到付款条件起30个工作日内，支付合同总金额的70.0%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质量不能满足合同要求，甲方应当将乙方违约的情况以及拟采取的措施以书面形式报政府采购监管部门，根据政府采购监管部门的处理意见，甲方有权单方面终止合同，并要求乙方承担违约责任。同时，政府采购监管部门有权依据《政府采购法》及相关法律法规对乙方的违法行为进行相应的处罚。 3.在本合同履行过程中，双方因违约或造成对方经济、社会效益等损失的应当赔偿，包括但不限于律师费、差旅费、诉讼费、调查费、公证费、鉴定费、专家证人出庭费、诉讼保全保险费等。 4.乙方提供的服务不符合本项目相关文件和本合同规定的，甲方有权拒绝，并且乙方须向甲方支付本合同总价款-- %的违约金。 5.乙方未能按照本合同约定时间提供服务或完成约定的项目服务内容的，从逾期之日起每日按本合同总价款--%的数额向甲方支付违约金；逾期日以上的，甲方有权终止合同，由此造成的甲方经济损失由乙方承担。 6.未经甲方同意，乙方不得擅自将本合同服务转包或分包第三方承担。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质量标准：符合国家现行规范“合格”标准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开标一览表docx.docx 响应文件封面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报价表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落实相关政策</w:t>
            </w:r>
          </w:p>
        </w:tc>
        <w:tc>
          <w:tcPr>
            <w:tcW w:type="dxa" w:w="3322"/>
          </w:tcPr>
          <w:p>
            <w:pPr>
              <w:pStyle w:val="null3"/>
            </w:pPr>
            <w:r>
              <w:rPr>
                <w:rFonts w:ascii="仿宋_GB2312" w:hAnsi="仿宋_GB2312" w:cs="仿宋_GB2312" w:eastAsia="仿宋_GB2312"/>
              </w:rPr>
              <w:t>1.满足《中华人民共和国政府采购法》第二十二条规定； （1）《政府采购促进中小企业发展管理办法》（财库〔2020〕46号）； （2）《财政部 司法部关于政府采购支持监狱企业发展有关问题的通知》（财库〔2014〕68号）； （3）《国务院办公厅关于建立政府强制采购节能产品制度的通知》（国发办〔2007〕51号）； （4）《关于印发节能产品政府采购品目清单的通知》（财库〔2019〕19号）； （5）《关于印发环境标志产品政府采购品目清单的通知》（财库〔2019〕18号）； （6）《三部门联合发布关于促进残疾人就业政府采购政策的通知》（财库〔2017〕141号）； （7）《财政部 发展改革委 生态环境部 市场监管总局关于调整优化节能产品、环境标志产品政府采购执行机制的通知》（财库〔2019〕9号）； （8）陕西省财政厅关于印发《陕西省中小企业政府采购信用融资办法》（陕财办采〔2018〕23号）； （9）《财政部 农业农村部 国家乡村振兴局关于运用政府采购政策支持乡村产业振兴的通知》（财库〔2021〕19号）； （10）《财政部 农业农村部 国家乡村振兴局 中华全国供销合作总社关于印发&lt;关于深入开展政府采购脱贫地区农副产品工作推进乡村产业振兴的实施意见&gt;的通知》（财库〔2021〕20号）； （11）《陕西省财政厅关于加快推进我省中小企业政府采购信用融资工作的通知》（陕财办采〔2020〕15号）； （12）《关于进一步加强政府绿色采购有关问题的通知》（陕财办采〔2021〕29号）； （13）《关于进一步加大政府采购支持中小企业力度的通知》（财库〔2022〕19号）； （14）《陕西省财政厅关于落实政府采购支持中小企业政策有关事项的通知》（陕财办采函〔2022〕10 号）； （15）《陕西省财政厅、中国人民银行西安分行关于深入推进政府采购信用融资业务的通知》（陕财办采〔2023〕5号）； （16）财政部 工业和信息化部关于贯彻落实《国务院办公厅关于在政府采购中实施本国产品标准及相关政策的通知》的意见（财库〔2025〕30 号）； （17）《关于推动解决政府采购异常低价问题的通知》（财库〔2026〕2 号）； （18）其他需要落实的政府采购政策。</w:t>
            </w:r>
          </w:p>
        </w:tc>
        <w:tc>
          <w:tcPr>
            <w:tcW w:type="dxa" w:w="1661"/>
          </w:tcPr>
          <w:p>
            <w:pPr>
              <w:pStyle w:val="null3"/>
            </w:pPr>
            <w:r>
              <w:rPr>
                <w:rFonts w:ascii="仿宋_GB2312" w:hAnsi="仿宋_GB2312" w:cs="仿宋_GB2312" w:eastAsia="仿宋_GB2312"/>
              </w:rPr>
              <w:t>响应文件封面 开标一览表docx.docx 资格证明.docx 中小企业声明函 残疾人福利性单位声明函 标的清单 报价表 响应函 服务方案.docx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供应商须具备自然资源主管部门核发的城乡规划（国土空间规划）编制乙级及以上资质；</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拟派项目负责人须具备注册城乡规划师执业资格或持有如城乡规划或国土空间规划或交通规划等相关专业高级工程师及以上技术职称；</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供应商应授权合法的人员参加投标：法定代表人直接参加投标，须出具法定代表人身份证明；法定代表人授权代表参加投标，须出具法定代表人授权书；</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提供2025年度的财务审计报告或开标前六个月内其基本账户银行出具的资信证明或财政部门认可的政府采购专业担保机构出具的担保函；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开标前近六个月内至少一个月的纳税凭证/证明，依法免税的应提供相关证明材料；</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开标前近六个月内至少一个月的社会保障资金缴纳凭证/证明，依法不需要缴纳的应提供相关证明材料；</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履约承诺</w:t>
            </w:r>
          </w:p>
        </w:tc>
        <w:tc>
          <w:tcPr>
            <w:tcW w:type="dxa" w:w="3322"/>
          </w:tcPr>
          <w:p>
            <w:pPr>
              <w:pStyle w:val="null3"/>
            </w:pPr>
            <w:r>
              <w:rPr>
                <w:rFonts w:ascii="仿宋_GB2312" w:hAnsi="仿宋_GB2312" w:cs="仿宋_GB2312" w:eastAsia="仿宋_GB2312"/>
              </w:rPr>
              <w:t>提供具有履行本合同所必需的设备和专业技术能力的说明或承诺书；</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参加本次投标前3年内，在经营活动中没有重大违法记录的书面声明</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被列入“中国执行信息公开网”（http：//zxgk.court.gov.cn）失信被执行人，不得被列入“信用中国”网站（www.creditchina.gov.cn）重大税收违法失信主体，不得被列入“中国政府采购网”（www.ccgp.gov.cn）政府采购严重违法失信行为记录名单。</w:t>
            </w:r>
          </w:p>
        </w:tc>
        <w:tc>
          <w:tcPr>
            <w:tcW w:type="dxa" w:w="1661"/>
          </w:tcPr>
          <w:p>
            <w:pPr>
              <w:pStyle w:val="null3"/>
            </w:pPr>
            <w:r>
              <w:rPr>
                <w:rFonts w:ascii="仿宋_GB2312" w:hAnsi="仿宋_GB2312" w:cs="仿宋_GB2312" w:eastAsia="仿宋_GB2312"/>
              </w:rPr>
              <w:t>资格证明.docx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开标一览表docx.docx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响应文件封面 开标一览表docx.docx 资格证明.docx 中小企业声明函 残疾人福利性单位声明函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唯一报价，并未超出采购预算或最高限价</w:t>
            </w:r>
          </w:p>
        </w:tc>
        <w:tc>
          <w:tcPr>
            <w:tcW w:type="dxa" w:w="1661"/>
          </w:tcPr>
          <w:p>
            <w:pPr>
              <w:pStyle w:val="null3"/>
            </w:pPr>
            <w:r>
              <w:rPr>
                <w:rFonts w:ascii="仿宋_GB2312" w:hAnsi="仿宋_GB2312" w:cs="仿宋_GB2312" w:eastAsia="仿宋_GB2312"/>
              </w:rPr>
              <w:t>开标一览表docx.docx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开标一览表docx.docx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服务内容及服务要求的响应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开标一览表docx.docx 资格证明.docx 中小企业声明函 残疾人福利性单位声明函 标的清单 报价表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开标一览表docx.docx 资格证明.docx 中小企业声明函 残疾人福利性单位声明函 标的清单 报价表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开标一览表docx.docx 资格证明.docx 中小企业声明函 残疾人福利性单位声明函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项目理解及分析</w:t>
            </w:r>
          </w:p>
        </w:tc>
        <w:tc>
          <w:tcPr>
            <w:tcW w:type="dxa" w:w="2492"/>
          </w:tcPr>
          <w:p>
            <w:pPr>
              <w:pStyle w:val="null3"/>
            </w:pPr>
            <w:r>
              <w:rPr>
                <w:rFonts w:ascii="仿宋_GB2312" w:hAnsi="仿宋_GB2312" w:cs="仿宋_GB2312" w:eastAsia="仿宋_GB2312"/>
              </w:rPr>
              <w:t>供应商针对储能电站、综合能源服务站、大功率充电设施蓝皮书核心内容，包括但不限于①完成三类设施建设必要性；②适配性分析；③城市发展、能源供需、产业布局现状；④完整充分具有前瞻性。 以上内容每缺一项扣3分；每有1处描述缺陷要求扣1分，扣完为止。未提供不得分。描述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现状调查分析</w:t>
            </w:r>
          </w:p>
        </w:tc>
        <w:tc>
          <w:tcPr>
            <w:tcW w:type="dxa" w:w="2492"/>
          </w:tcPr>
          <w:p>
            <w:pPr>
              <w:pStyle w:val="null3"/>
            </w:pPr>
            <w:r>
              <w:rPr>
                <w:rFonts w:ascii="仿宋_GB2312" w:hAnsi="仿宋_GB2312" w:cs="仿宋_GB2312" w:eastAsia="仿宋_GB2312"/>
              </w:rPr>
              <w:t>供应商针对项目现状调查分析实施方案，内容合理、切实可行，包括但不限于①用地现状分析；②覆盖三类设施用地性质、建设进度、土地供应、周边管控限制性因素；③交通现状分析；④区域交通路网、通行能力、交通瓶颈等调查内容。 以上内容每缺一项扣3分；每有1处描述缺陷要求扣1分，扣完为止。未提供不得分。描述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设施布局与现有规划符合性分析</w:t>
            </w:r>
          </w:p>
        </w:tc>
        <w:tc>
          <w:tcPr>
            <w:tcW w:type="dxa" w:w="2492"/>
          </w:tcPr>
          <w:p>
            <w:pPr>
              <w:pStyle w:val="null3"/>
            </w:pPr>
            <w:r>
              <w:rPr>
                <w:rFonts w:ascii="仿宋_GB2312" w:hAnsi="仿宋_GB2312" w:cs="仿宋_GB2312" w:eastAsia="仿宋_GB2312"/>
              </w:rPr>
              <w:t>供应商针对三类设施规划方案，内容合理，包括但不限于①能源设施布局与国土空间规划符合性分析；②能源设施布局与城市综合交通体系规划符合性分析；③设施安全管控要求；④项目出入口设置、内部及周边交通组织、配套等内容。 以上内容每缺一项扣3分；每有1处描述缺陷要求扣1分，扣完为止。未提供不得分。描述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拟派项目负责人具有类似项目业绩，每提供一项得3分， 最高得6分。未提供不得分。（证明资料需体现项目负责人名字及职务） 评审依据：以成交通知书或合同签订时间为准，须提供成交通知书或合同复印件并加盖供应商公章；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（1）拟配备本项目服务团队人员（含项目负责人）≥7人，得9分；拟配备人员≥5人，得6分；不足3人，得3分。 评审依据：供应商提供人员身份证及开标前6个月内（不含当月）任意一个月供应商为其缴纳的社保证明并加盖供应商公章。 （2）拟配备本项目服务团队人员（除项目负责人外），每具有1名城乡规划或国土空间规划或交通规划等相关高级及以上职称，得2分；本项最高6分； 评审依据：以供应商加盖公章的职称证复印件为准； （3）拟配备本项目服务团队人员（除项目负责人外），每具备1名城乡规划或国土空间规划或交通规划等相关中级职称，得1分；本项最高3分； 评审依据：以供应商加盖公章的职称证复印件为准；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落地配套咨询服务方案</w:t>
            </w:r>
          </w:p>
        </w:tc>
        <w:tc>
          <w:tcPr>
            <w:tcW w:type="dxa" w:w="2492"/>
          </w:tcPr>
          <w:p>
            <w:pPr>
              <w:pStyle w:val="null3"/>
            </w:pPr>
            <w:r>
              <w:rPr>
                <w:rFonts w:ascii="仿宋_GB2312" w:hAnsi="仿宋_GB2312" w:cs="仿宋_GB2312" w:eastAsia="仿宋_GB2312"/>
              </w:rPr>
              <w:t>供应商针对项目落地配套咨询制定全流程落地咨询服务方案，包括但不限于：①覆盖项目前期对接；②规划落地答疑、问题整改优化；③资料汇编；④全过程技术支撑、对接主管部门各环节服务方案。 以上内容每缺一项扣1分；每有1处描述缺陷要求扣0.5分，扣完为止。未提供不得分。描述缺陷是指:内容粗略不够全面、不够合理、可行性不足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供应商须提供2021年1月至今类似项目业绩，每提供一项得3分，最高得15分。未提供不得分。 评审依据：以成交通知书或合同签订时间为准，须提供成交通知书或合同复印件并加盖供应商公章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（2）投标（响应）报价低于通过符合性审查且报价次低供应商投标（响应）报价60%的，即投标（响应）报价&lt;通过符合性审查且报价次低供应商投标（响应）报价×60%。 （3）投标（响应）报价低于最高限价60%的，即投标（响应）报价&lt;最高限价×60%。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开标一览表docx.docx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满足磋商文件要求且投标价格最低的投标报价为评标基准价，其价格分为满分。其他投标供应商的价格分统一按照下列公式计算：投标报价得分=（评标基准价/投标报价）×价格权值×100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开标一览表docx.docx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非专门面向中小企业或监狱企业的项目，对小型和微型企业或监狱企业或残疾人福利性单位提供的服务价格给予10%的扣除，用扣除后的价格参与评审。（供应商需提供其为中小企业或监狱企业或残疾人福利性单位的相关证明资料并由评标小组认定。中小微企业必须提供《中小企业声明函》。</w:t>
            </w:r>
          </w:p>
        </w:tc>
        <w:tc>
          <w:tcPr>
            <w:tcW w:type="dxa" w:w="1661"/>
          </w:tcPr>
          <w:p>
            <w:pPr>
              <w:pStyle w:val="null3"/>
            </w:pPr>
            <w:r>
              <w:rPr>
                <w:rFonts w:ascii="仿宋_GB2312" w:hAnsi="仿宋_GB2312" w:cs="仿宋_GB2312" w:eastAsia="仿宋_GB2312"/>
              </w:rPr>
              <w:t>资格证明.docx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详见附件：开标一览表docx.docx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详见附件：资格证明.docx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