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2E055">
      <w:pPr>
        <w:spacing w:line="240" w:lineRule="auto"/>
        <w:jc w:val="center"/>
        <w:outlineLvl w:val="9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五</w:t>
      </w:r>
      <w:r>
        <w:rPr>
          <w:rFonts w:hint="eastAsia" w:ascii="宋体" w:hAnsi="宋体" w:cs="宋体"/>
          <w:b/>
          <w:sz w:val="32"/>
          <w:szCs w:val="32"/>
        </w:rPr>
        <w:t>、服务方案</w:t>
      </w:r>
    </w:p>
    <w:p w14:paraId="5C94093C">
      <w:pPr>
        <w:spacing w:line="360" w:lineRule="auto"/>
        <w:outlineLvl w:val="1"/>
        <w:rPr>
          <w:rFonts w:hint="eastAsia"/>
          <w:sz w:val="24"/>
        </w:rPr>
      </w:pPr>
      <w:r>
        <w:rPr>
          <w:rFonts w:hint="eastAsia" w:ascii="仿宋_GB2312" w:hAnsi="宋体" w:eastAsia="仿宋_GB2312"/>
          <w:b/>
          <w:sz w:val="36"/>
          <w:szCs w:val="36"/>
        </w:rPr>
        <w:t xml:space="preserve"> 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  <w:lang w:val="en-US" w:eastAsia="zh-CN"/>
        </w:rPr>
        <w:t>一</w:t>
      </w:r>
      <w:r>
        <w:rPr>
          <w:rFonts w:hint="eastAsia"/>
          <w:b/>
          <w:bCs/>
          <w:sz w:val="24"/>
          <w:lang w:eastAsia="zh-CN"/>
        </w:rPr>
        <w:t>）</w:t>
      </w:r>
      <w:r>
        <w:rPr>
          <w:rFonts w:hint="eastAsia"/>
          <w:b/>
          <w:bCs/>
          <w:sz w:val="24"/>
          <w:lang w:val="en-US" w:eastAsia="zh-CN"/>
        </w:rPr>
        <w:t>项目理解及分析：</w:t>
      </w:r>
      <w:r>
        <w:rPr>
          <w:rFonts w:hint="eastAsia"/>
          <w:sz w:val="24"/>
        </w:rPr>
        <w:t>按照磋商文件的要求编制服务方案，内容包括但不限于</w:t>
      </w:r>
      <w:r>
        <w:rPr>
          <w:rFonts w:hint="eastAsia"/>
          <w:sz w:val="24"/>
          <w:lang w:val="en-US" w:eastAsia="zh-CN"/>
        </w:rPr>
        <w:t>评标办法规定</w:t>
      </w:r>
      <w:r>
        <w:rPr>
          <w:rFonts w:hint="eastAsia"/>
          <w:sz w:val="24"/>
        </w:rPr>
        <w:t>的全部内容，格式自拟。</w:t>
      </w:r>
    </w:p>
    <w:p w14:paraId="1FFB8509">
      <w:pPr>
        <w:spacing w:line="360" w:lineRule="auto"/>
        <w:outlineLvl w:val="9"/>
        <w:rPr>
          <w:rFonts w:hint="eastAsia" w:hAnsi="宋体"/>
          <w:sz w:val="22"/>
          <w:szCs w:val="28"/>
          <w:lang w:val="en-US" w:eastAsia="zh-CN"/>
        </w:rPr>
      </w:pPr>
      <w:r>
        <w:rPr>
          <w:rFonts w:hint="eastAsia" w:hAnsi="宋体"/>
          <w:sz w:val="22"/>
          <w:szCs w:val="28"/>
        </w:rPr>
        <w:br w:type="page"/>
      </w:r>
      <w:r>
        <w:rPr>
          <w:rFonts w:hint="eastAsia" w:hAnsi="宋体"/>
          <w:sz w:val="22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  <w:lang w:val="en-US" w:eastAsia="zh-CN"/>
        </w:rPr>
        <w:t>二</w:t>
      </w:r>
      <w:r>
        <w:rPr>
          <w:rFonts w:hint="eastAsia"/>
          <w:b/>
          <w:bCs/>
          <w:sz w:val="24"/>
          <w:lang w:eastAsia="zh-CN"/>
        </w:rPr>
        <w:t>）</w:t>
      </w:r>
      <w:r>
        <w:rPr>
          <w:rFonts w:hint="eastAsia"/>
          <w:b/>
          <w:bCs/>
          <w:sz w:val="24"/>
          <w:lang w:val="en-US" w:eastAsia="zh-CN"/>
        </w:rPr>
        <w:t>现状调查分析：</w:t>
      </w:r>
      <w:r>
        <w:rPr>
          <w:rFonts w:hint="eastAsia"/>
          <w:sz w:val="24"/>
        </w:rPr>
        <w:t>按照磋商文件的要求编制服务方案，内容包括但不限于</w:t>
      </w:r>
      <w:r>
        <w:rPr>
          <w:rFonts w:hint="eastAsia"/>
          <w:sz w:val="24"/>
          <w:lang w:val="en-US" w:eastAsia="zh-CN"/>
        </w:rPr>
        <w:t>评标办法规定</w:t>
      </w:r>
      <w:r>
        <w:rPr>
          <w:rFonts w:hint="eastAsia"/>
          <w:sz w:val="24"/>
        </w:rPr>
        <w:t>的全部内容，格式自拟。</w:t>
      </w:r>
      <w:r>
        <w:rPr>
          <w:rFonts w:hint="eastAsia" w:hAnsi="宋体"/>
          <w:sz w:val="22"/>
          <w:szCs w:val="28"/>
          <w:lang w:val="en-US" w:eastAsia="zh-CN"/>
        </w:rPr>
        <w:br w:type="page"/>
      </w:r>
      <w:r>
        <w:rPr>
          <w:rFonts w:hint="eastAsia" w:hAnsi="宋体"/>
          <w:sz w:val="22"/>
          <w:szCs w:val="28"/>
          <w:lang w:val="en-US" w:eastAsia="zh-CN"/>
        </w:rPr>
        <w:t xml:space="preserve">    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  <w:lang w:val="en-US" w:eastAsia="zh-CN"/>
        </w:rPr>
        <w:t>三</w:t>
      </w:r>
      <w:r>
        <w:rPr>
          <w:rFonts w:hint="eastAsia"/>
          <w:b/>
          <w:bCs/>
          <w:sz w:val="24"/>
          <w:lang w:eastAsia="zh-CN"/>
        </w:rPr>
        <w:t>）设施布局与现有规划符合性分析</w:t>
      </w:r>
      <w:r>
        <w:rPr>
          <w:rFonts w:hint="eastAsia"/>
          <w:b/>
          <w:bCs/>
          <w:sz w:val="24"/>
          <w:lang w:val="en-US" w:eastAsia="zh-CN"/>
        </w:rPr>
        <w:t>：</w:t>
      </w:r>
      <w:r>
        <w:rPr>
          <w:rFonts w:hint="eastAsia"/>
          <w:sz w:val="24"/>
        </w:rPr>
        <w:t>按照磋商文件的要求编制服务方案，内容包括但不限于</w:t>
      </w:r>
      <w:r>
        <w:rPr>
          <w:rFonts w:hint="eastAsia"/>
          <w:sz w:val="24"/>
          <w:lang w:val="en-US" w:eastAsia="zh-CN"/>
        </w:rPr>
        <w:t>评标办法规定</w:t>
      </w:r>
      <w:r>
        <w:rPr>
          <w:rFonts w:hint="eastAsia"/>
          <w:sz w:val="24"/>
        </w:rPr>
        <w:t>的全部内容，格式自拟。</w:t>
      </w:r>
    </w:p>
    <w:p w14:paraId="3BC5248D">
      <w:pPr>
        <w:spacing w:line="360" w:lineRule="auto"/>
        <w:outlineLvl w:val="9"/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hAnsi="宋体"/>
          <w:sz w:val="22"/>
          <w:szCs w:val="28"/>
          <w:lang w:val="en-US" w:eastAsia="zh-CN"/>
        </w:rPr>
        <w:br w:type="page"/>
      </w:r>
      <w:r>
        <w:rPr>
          <w:rFonts w:hint="eastAsia" w:hAnsi="宋体"/>
          <w:sz w:val="22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（四）人员配备情况：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按照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评分办法中针对本项目的专业服务团队，组织结构及人员分工明确情况进行阐述，格式自拟。</w:t>
      </w:r>
    </w:p>
    <w:p w14:paraId="32F3C4AB">
      <w:pPr>
        <w:spacing w:line="240" w:lineRule="auto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</w:p>
    <w:p w14:paraId="4EBC27D0">
      <w:pPr>
        <w:spacing w:line="240" w:lineRule="auto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</w:p>
    <w:p w14:paraId="60845A12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0E6527CF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468DC298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64617781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72C180A2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7CB4F50B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6E27EF3F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5DC6D021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6A283D03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11F889DD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345661E8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2CB20AE8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4B1C4479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61199497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4734AFDD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2A4B38CF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1743E25B">
      <w:pPr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7D19DFB5">
      <w:pPr>
        <w:pStyle w:val="2"/>
        <w:spacing w:line="240" w:lineRule="auto"/>
        <w:rPr>
          <w:rFonts w:hint="eastAsia" w:ascii="宋体" w:hAnsi="宋体" w:cs="宋体"/>
          <w:b/>
          <w:sz w:val="32"/>
          <w:szCs w:val="32"/>
        </w:rPr>
      </w:pPr>
    </w:p>
    <w:p w14:paraId="01436B83">
      <w:pPr>
        <w:spacing w:line="240" w:lineRule="auto"/>
        <w:outlineLvl w:val="1"/>
        <w:rPr>
          <w:rFonts w:hint="eastAsia" w:ascii="Times New Roman" w:hAnsi="Times New Roman" w:eastAsia="宋体" w:cs="Times New Roman"/>
          <w:sz w:val="24"/>
          <w:lang w:val="en-US" w:eastAsia="zh-CN"/>
        </w:rPr>
      </w:pPr>
    </w:p>
    <w:p w14:paraId="232133C5">
      <w:pPr>
        <w:adjustRightInd w:val="0"/>
        <w:spacing w:line="240" w:lineRule="auto"/>
        <w:jc w:val="center"/>
        <w:outlineLvl w:val="9"/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（五）业绩一览表</w:t>
      </w:r>
    </w:p>
    <w:p w14:paraId="4869BB7A">
      <w:pPr>
        <w:adjustRightInd w:val="0"/>
        <w:spacing w:line="240" w:lineRule="auto"/>
        <w:jc w:val="center"/>
        <w:outlineLvl w:val="9"/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3413"/>
        <w:gridCol w:w="2730"/>
        <w:gridCol w:w="1874"/>
      </w:tblGrid>
      <w:tr w14:paraId="13B2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761" w:type="dxa"/>
            <w:noWrap w:val="0"/>
            <w:vAlign w:val="center"/>
          </w:tcPr>
          <w:p w14:paraId="15995A06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序号</w:t>
            </w:r>
          </w:p>
        </w:tc>
        <w:tc>
          <w:tcPr>
            <w:tcW w:w="3413" w:type="dxa"/>
            <w:noWrap w:val="0"/>
            <w:vAlign w:val="center"/>
          </w:tcPr>
          <w:p w14:paraId="5B895366">
            <w:pPr>
              <w:spacing w:line="240" w:lineRule="auto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项目名称</w:t>
            </w:r>
          </w:p>
        </w:tc>
        <w:tc>
          <w:tcPr>
            <w:tcW w:w="2730" w:type="dxa"/>
            <w:noWrap w:val="0"/>
            <w:vAlign w:val="center"/>
          </w:tcPr>
          <w:p w14:paraId="2BF7C268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项目内容</w:t>
            </w:r>
          </w:p>
        </w:tc>
        <w:tc>
          <w:tcPr>
            <w:tcW w:w="1874" w:type="dxa"/>
            <w:noWrap w:val="0"/>
            <w:vAlign w:val="center"/>
          </w:tcPr>
          <w:p w14:paraId="14C27CB0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项目业主</w:t>
            </w:r>
          </w:p>
        </w:tc>
      </w:tr>
      <w:tr w14:paraId="661F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761" w:type="dxa"/>
            <w:noWrap w:val="0"/>
            <w:vAlign w:val="center"/>
          </w:tcPr>
          <w:p w14:paraId="0CFFB43B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13" w:type="dxa"/>
            <w:noWrap w:val="0"/>
            <w:vAlign w:val="center"/>
          </w:tcPr>
          <w:p w14:paraId="15C7EC8A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140A28A0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noWrap w:val="0"/>
            <w:vAlign w:val="center"/>
          </w:tcPr>
          <w:p w14:paraId="0437F841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14:paraId="2558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761" w:type="dxa"/>
            <w:noWrap w:val="0"/>
            <w:vAlign w:val="center"/>
          </w:tcPr>
          <w:p w14:paraId="2C81A35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13" w:type="dxa"/>
            <w:noWrap w:val="0"/>
            <w:vAlign w:val="center"/>
          </w:tcPr>
          <w:p w14:paraId="3B6EAF27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5C4DE2B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noWrap w:val="0"/>
            <w:vAlign w:val="center"/>
          </w:tcPr>
          <w:p w14:paraId="3C771144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14:paraId="3BCDA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761" w:type="dxa"/>
            <w:noWrap w:val="0"/>
            <w:vAlign w:val="center"/>
          </w:tcPr>
          <w:p w14:paraId="348C6A6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13" w:type="dxa"/>
            <w:noWrap w:val="0"/>
            <w:vAlign w:val="center"/>
          </w:tcPr>
          <w:p w14:paraId="13E4FF6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0CAA3BE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noWrap w:val="0"/>
            <w:vAlign w:val="center"/>
          </w:tcPr>
          <w:p w14:paraId="2B8ED411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14:paraId="0EF11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761" w:type="dxa"/>
            <w:noWrap w:val="0"/>
            <w:vAlign w:val="center"/>
          </w:tcPr>
          <w:p w14:paraId="05AFC847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13" w:type="dxa"/>
            <w:noWrap w:val="0"/>
            <w:vAlign w:val="center"/>
          </w:tcPr>
          <w:p w14:paraId="7C705EAA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C6F40A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noWrap w:val="0"/>
            <w:vAlign w:val="center"/>
          </w:tcPr>
          <w:p w14:paraId="25675480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14:paraId="0D7F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761" w:type="dxa"/>
            <w:noWrap w:val="0"/>
            <w:vAlign w:val="center"/>
          </w:tcPr>
          <w:p w14:paraId="0B96D62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13" w:type="dxa"/>
            <w:noWrap w:val="0"/>
            <w:vAlign w:val="center"/>
          </w:tcPr>
          <w:p w14:paraId="5346DFF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3AB6FA0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noWrap w:val="0"/>
            <w:vAlign w:val="center"/>
          </w:tcPr>
          <w:p w14:paraId="03744596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14:paraId="78B0C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761" w:type="dxa"/>
            <w:noWrap w:val="0"/>
            <w:vAlign w:val="center"/>
          </w:tcPr>
          <w:p w14:paraId="45D16F3A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</w:tc>
        <w:tc>
          <w:tcPr>
            <w:tcW w:w="3413" w:type="dxa"/>
            <w:noWrap w:val="0"/>
            <w:vAlign w:val="center"/>
          </w:tcPr>
          <w:p w14:paraId="1A417D26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5200220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noWrap w:val="0"/>
            <w:vAlign w:val="center"/>
          </w:tcPr>
          <w:p w14:paraId="091FE6C2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14:paraId="46962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761" w:type="dxa"/>
            <w:noWrap w:val="0"/>
            <w:vAlign w:val="center"/>
          </w:tcPr>
          <w:p w14:paraId="3B4E081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</w:tc>
        <w:tc>
          <w:tcPr>
            <w:tcW w:w="3413" w:type="dxa"/>
            <w:noWrap w:val="0"/>
            <w:vAlign w:val="center"/>
          </w:tcPr>
          <w:p w14:paraId="15C95957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1AD34E4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noWrap w:val="0"/>
            <w:vAlign w:val="center"/>
          </w:tcPr>
          <w:p w14:paraId="394EF5D5">
            <w:pPr>
              <w:spacing w:line="240" w:lineRule="auto"/>
              <w:jc w:val="center"/>
              <w:rPr>
                <w:color w:val="000000"/>
              </w:rPr>
            </w:pPr>
          </w:p>
        </w:tc>
      </w:tr>
    </w:tbl>
    <w:p w14:paraId="288F39DE">
      <w:pPr>
        <w:spacing w:line="240" w:lineRule="auto"/>
        <w:rPr>
          <w:b/>
          <w:bCs/>
          <w:color w:val="000000"/>
        </w:rPr>
      </w:pPr>
    </w:p>
    <w:p w14:paraId="6575AFF2">
      <w:pPr>
        <w:spacing w:line="240" w:lineRule="auto"/>
        <w:rPr>
          <w:rFonts w:hint="default" w:eastAsia="宋体"/>
          <w:color w:val="000000"/>
          <w:lang w:val="en-US" w:eastAsia="zh-CN"/>
        </w:rPr>
      </w:pPr>
      <w:r>
        <w:rPr>
          <w:color w:val="000000"/>
        </w:rPr>
        <w:t>附：</w:t>
      </w:r>
      <w:r>
        <w:rPr>
          <w:rFonts w:hint="eastAsia"/>
          <w:color w:val="000000"/>
          <w:lang w:val="en-US" w:eastAsia="zh-CN"/>
        </w:rPr>
        <w:t>1、</w:t>
      </w:r>
      <w:r>
        <w:rPr>
          <w:rFonts w:hint="eastAsia" w:ascii="宋体" w:hAnsi="宋体"/>
          <w:color w:val="000000"/>
          <w:szCs w:val="21"/>
        </w:rPr>
        <w:t>以</w:t>
      </w:r>
      <w:r>
        <w:rPr>
          <w:rFonts w:hint="eastAsia" w:ascii="宋体" w:hAnsi="宋体"/>
          <w:color w:val="000000"/>
          <w:szCs w:val="21"/>
          <w:lang w:eastAsia="zh-CN"/>
        </w:rPr>
        <w:t>成交通知书</w:t>
      </w:r>
      <w:r>
        <w:rPr>
          <w:rFonts w:hint="eastAsia" w:ascii="宋体" w:hAnsi="宋体"/>
          <w:color w:val="000000"/>
          <w:szCs w:val="21"/>
        </w:rPr>
        <w:t>或合同签订时间为准，须提供</w:t>
      </w:r>
      <w:r>
        <w:rPr>
          <w:rFonts w:hint="eastAsia" w:ascii="宋体" w:hAnsi="宋体"/>
          <w:color w:val="000000"/>
          <w:szCs w:val="21"/>
          <w:lang w:eastAsia="zh-CN"/>
        </w:rPr>
        <w:t>成交通知书</w:t>
      </w:r>
      <w:r>
        <w:rPr>
          <w:rFonts w:hint="eastAsia" w:ascii="宋体" w:hAnsi="宋体"/>
          <w:color w:val="000000"/>
          <w:szCs w:val="21"/>
        </w:rPr>
        <w:t>或合同复印件并加盖供应商公章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  <w:r>
        <w:rPr>
          <w:rFonts w:hint="eastAsia" w:ascii="宋体" w:hAnsi="宋体"/>
          <w:color w:val="000000"/>
          <w:szCs w:val="21"/>
          <w:lang w:eastAsia="zh-CN"/>
        </w:rPr>
        <w:br w:type="textWrapping"/>
      </w:r>
      <w:r>
        <w:rPr>
          <w:rFonts w:hint="eastAsia" w:ascii="宋体" w:hAnsi="宋体"/>
          <w:color w:val="000000"/>
          <w:szCs w:val="21"/>
          <w:lang w:val="en-US" w:eastAsia="zh-CN"/>
        </w:rPr>
        <w:t>2、企业业绩与项目经理业绩可重复。</w:t>
      </w:r>
    </w:p>
    <w:p w14:paraId="758A6C8E">
      <w:pPr>
        <w:adjustRightInd w:val="0"/>
        <w:spacing w:line="240" w:lineRule="auto"/>
        <w:jc w:val="center"/>
        <w:outlineLvl w:val="9"/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</w:pPr>
    </w:p>
    <w:p w14:paraId="634DDD56">
      <w:pPr>
        <w:adjustRightInd w:val="0"/>
        <w:spacing w:line="240" w:lineRule="auto"/>
        <w:jc w:val="center"/>
        <w:outlineLvl w:val="9"/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</w:pPr>
    </w:p>
    <w:p w14:paraId="696044BC">
      <w:pPr>
        <w:adjustRightInd w:val="0"/>
        <w:spacing w:line="240" w:lineRule="auto"/>
        <w:jc w:val="center"/>
        <w:outlineLvl w:val="9"/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</w:pPr>
    </w:p>
    <w:p w14:paraId="6F979307">
      <w:pPr>
        <w:adjustRightInd w:val="0"/>
        <w:spacing w:line="240" w:lineRule="auto"/>
        <w:jc w:val="center"/>
        <w:outlineLvl w:val="9"/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</w:pPr>
    </w:p>
    <w:p w14:paraId="7F897A6A">
      <w:pPr>
        <w:adjustRightInd w:val="0"/>
        <w:spacing w:line="240" w:lineRule="auto"/>
        <w:jc w:val="center"/>
        <w:outlineLvl w:val="9"/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</w:pPr>
    </w:p>
    <w:p w14:paraId="546759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63928"/>
    <w:rsid w:val="4CB6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2026-08-13T01:35:00Z</dcterms:created>
  <dc:creator>倒数</dc:creator>
  <cp:lastModifiedBy>倒数</cp:lastModifiedBy>
  <dcterms:modified xsi:type="dcterms:W3CDTF">2026-08-13T01:35:48Z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B721012D68F84D1DB0D824D2D9541526_11</vt:lpwstr>
  </property>
  <property fmtid="{D5CDD505-2E9C-101B-9397-08002B2CF9AE}" pid="4" name="KSOTemplateDocerSaveRecord">
    <vt:lpwstr>eyJoZGlkIjoiYTg0YWY0ZTA1YmJlNjM5OWU1NWUzOGI5OTBlOWM5MDEiLCJ1c2VySWQiOiI1MTAxMjMyNzYifQ==</vt:lpwstr>
  </property>
</Properties>
</file>