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版本号：ZMZB2026YDDX-24720260717003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长安校区西区公寓环境提升改造项目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ZMZB2026YDDX-247</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长安校区西区公寓环境提升改造项目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ZMZB2026YDDX-247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长安校区西区公寓环境提升改造项目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长安校区西区公寓环境提升改造项目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采购包1（长安校区西区公寓环境提升改造项目）：属于专门面向中小企业采购。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响应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及被授权人开标前六个月内任意一个月（不含开标当月）在本公司缴纳的社保证明，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8、施工资质：供应商应具有建筑工程施工总承包三级（含三级）以上资质以及合法有效的安全生产许可证</w:t>
      </w:r>
    </w:p>
    <w:p>
      <w:pPr>
        <w:pStyle w:val="null3"/>
      </w:pPr>
      <w:r>
        <w:rPr>
          <w:rFonts w:ascii="仿宋_GB2312" w:hAnsi="仿宋_GB2312" w:cs="仿宋_GB2312" w:eastAsia="仿宋_GB2312"/>
        </w:rPr>
        <w:t>9、拟派项目负责人资质及专业要求：拟投入项目经理须具备建筑工程专业二级以上（含二级）注册建造师执业资格证（在本单位注册）及有效的安全生产考核合格证（建安B证），且未担任其它在建工程的项目经理（提供承诺书）</w:t>
      </w:r>
    </w:p>
    <w:p>
      <w:pPr>
        <w:pStyle w:val="null3"/>
      </w:pPr>
      <w:r>
        <w:rPr>
          <w:rFonts w:ascii="仿宋_GB2312" w:hAnsi="仿宋_GB2312" w:cs="仿宋_GB2312" w:eastAsia="仿宋_GB2312"/>
        </w:rPr>
        <w:t>10、外地企业备案：外地企业提供在“陕西省建筑市场监管与诚信信息一体化平台”上登记的基本信息界面截图</w:t>
      </w:r>
    </w:p>
    <w:p>
      <w:pPr>
        <w:pStyle w:val="null3"/>
      </w:pPr>
      <w:r>
        <w:rPr>
          <w:rFonts w:ascii="仿宋_GB2312" w:hAnsi="仿宋_GB2312" w:cs="仿宋_GB2312" w:eastAsia="仿宋_GB2312"/>
        </w:rPr>
        <w:t>11、本项目不接受联合体投标：本项目不接受联合体投标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采购包1：995,805.22元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说明：供应商凭中标通知书向采购人缴纳中标金额的5%作为履约保证金，待合同验收合格后无息退还。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在50万元以内的按照国家计委关于印发《招标代理服务收费管理暂行办法的通知》（计价格[2002]1980号）的收费标准收取；中标金额50万及以上的采购项目按国家计委关于印发《采购代理服务收费管理暂行办法的通知》（计价格[2002]1980号）规定的标准下浮 20 %作为代理费报价，按合同约定实施完成采购代理工作。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09:30:00</w:t>
            </w:r>
          </w:p>
          <w:p>
            <w:pPr>
              <w:pStyle w:val="null3"/>
              <w:ind w:firstLine="975"/>
            </w:pPr>
            <w:r>
              <w:rPr>
                <w:rFonts w:ascii="仿宋_GB2312" w:hAnsi="仿宋_GB2312" w:cs="仿宋_GB2312" w:eastAsia="仿宋_GB2312"/>
              </w:rPr>
              <w:t>踏勘地点：西安邮电大学长安校区西区北门</w:t>
            </w:r>
          </w:p>
          <w:p>
            <w:pPr>
              <w:pStyle w:val="null3"/>
              <w:ind w:firstLine="975"/>
            </w:pPr>
            <w:r>
              <w:rPr>
                <w:rFonts w:ascii="仿宋_GB2312" w:hAnsi="仿宋_GB2312" w:cs="仿宋_GB2312" w:eastAsia="仿宋_GB2312"/>
              </w:rPr>
              <w:t>联系人：米文佳 马魏臣</w:t>
            </w:r>
          </w:p>
          <w:p>
            <w:pPr>
              <w:pStyle w:val="null3"/>
              <w:ind w:firstLine="975"/>
            </w:pPr>
            <w:r>
              <w:rPr>
                <w:rFonts w:ascii="仿宋_GB2312" w:hAnsi="仿宋_GB2312" w:cs="仿宋_GB2312" w:eastAsia="仿宋_GB2312"/>
              </w:rPr>
              <w:t>联系电话号码：177 7896 6062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根据采购文件、响应文件及合同条款执行。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根据采购文件、响应文件及合同条款执行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995,805.22</w:t>
      </w:r>
    </w:p>
    <w:p>
      <w:pPr>
        <w:pStyle w:val="null3"/>
      </w:pPr>
      <w:r>
        <w:rPr>
          <w:rFonts w:ascii="仿宋_GB2312" w:hAnsi="仿宋_GB2312" w:cs="仿宋_GB2312" w:eastAsia="仿宋_GB2312"/>
        </w:rPr>
        <w:t>采购包最高限价（元）: 995,805.22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长安校区西区公寓环境提升改造项目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995,805.22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标的名称：长安校区西区公寓环境提升改造项目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30日历天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地点：</w:t>
            </w:r>
            <w:r>
              <w:rPr>
                <w:rFonts w:ascii="仿宋_GB2312" w:hAnsi="仿宋_GB2312" w:cs="仿宋_GB2312" w:eastAsia="仿宋_GB2312"/>
                <w:sz w:val="21"/>
              </w:rPr>
              <w:t>西安邮电大学</w:t>
            </w:r>
            <w:r>
              <w:rPr>
                <w:rFonts w:ascii="仿宋_GB2312" w:hAnsi="仿宋_GB2312" w:cs="仿宋_GB2312" w:eastAsia="仿宋_GB2312"/>
                <w:sz w:val="21"/>
              </w:rPr>
              <w:t>长安校区西区。</w:t>
            </w:r>
          </w:p>
          <w:p>
            <w:pPr>
              <w:pStyle w:val="null3"/>
            </w:pPr>
            <w:r>
              <w:rPr>
                <w:rFonts w:ascii="仿宋_GB2312" w:hAnsi="仿宋_GB2312" w:cs="仿宋_GB2312" w:eastAsia="仿宋_GB2312"/>
                <w:sz w:val="21"/>
              </w:rPr>
              <w:t>工程范围：详见工程量清单</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绿化养护要求：</w:t>
            </w:r>
          </w:p>
          <w:p>
            <w:pPr>
              <w:pStyle w:val="null3"/>
            </w:pPr>
            <w:r>
              <w:rPr>
                <w:rFonts w:ascii="仿宋_GB2312" w:hAnsi="仿宋_GB2312" w:cs="仿宋_GB2312" w:eastAsia="仿宋_GB2312"/>
                <w:sz w:val="21"/>
              </w:rPr>
              <w:t>整体绿化养护服务周期为</w:t>
            </w:r>
            <w:r>
              <w:rPr>
                <w:rFonts w:ascii="仿宋_GB2312" w:hAnsi="仿宋_GB2312" w:cs="仿宋_GB2312" w:eastAsia="仿宋_GB2312"/>
                <w:sz w:val="21"/>
              </w:rPr>
              <w:t>1年（12个月）存活率在95%以上。</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报价要求</w:t>
            </w:r>
          </w:p>
          <w:p>
            <w:pPr>
              <w:pStyle w:val="null3"/>
            </w:pPr>
            <w:r>
              <w:rPr>
                <w:rFonts w:ascii="仿宋_GB2312" w:hAnsi="仿宋_GB2312" w:cs="仿宋_GB2312" w:eastAsia="仿宋_GB2312"/>
                <w:sz w:val="21"/>
              </w:rPr>
              <w:t>所有费用全包含在本次报价（含税）中。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付款方式：工程完成后，乙方报甲方及监理进行初验，初验合格后，乙方向甲方申请正式验收，甲方收到申请后组织相关专业人员对项目进行验收，验收合格后甲方支付到合同金额50%的工程款。乙方向甲方报送结算资料，经甲方审计结算且乙方确认结算金额后，甲方付款至结算审定金额的97%，待质保期满且无质量问题后付款至审定金额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供应商在竞争性磋商响应文件中承诺的项目负责人及相应资质的专业技术、安全管理人员未经采购人书面同意，承包人不得调换和撤离，并按工程进度及时到位。采购人有权要求供应商撤换工作不负责任、管理不力、贻误工期和造成严重安全事故和违法乱纪的专业技术、安全管理人员。如项目负责人及相应资质的专业技术人员未按要求到位，视作违约，采购人有权按合同约定进行罚款直至单方面终止合同。 2.供应商须无条件接受采购人的现场检查和管理。 3.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4.施工的建筑垃圾应清运至有关部门指定的地点，做到工完场清。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非法定代表人参加投标的，须提供法定代表人委托授权书及被授权人身份证及被授权人开标前六个月内任意一个月（不含开标当月）在本公司缴纳的社保证明，法定代表人参加投标时,只需提供法定代表人身份证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供应商应具有建筑工程施工总承包三级（含三级）以上资质以及合法有效的安全生产许可证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拟投入项目经理须具备建筑工程专业二级以上（含二级）注册建造师执业资格证（在本单位注册）及有效的安全生产考核合格证（建安B证），且未担任其它在建工程的项目经理（提供承诺书）</w:t>
            </w:r>
          </w:p>
        </w:tc>
        <w:tc>
          <w:tcPr>
            <w:tcW w:type="dxa" w:w="1661"/>
          </w:tcPr>
          <w:p>
            <w:pPr>
              <w:pStyle w:val="null3"/>
            </w:pPr>
            <w:r>
              <w:rPr>
                <w:rFonts w:ascii="仿宋_GB2312" w:hAnsi="仿宋_GB2312" w:cs="仿宋_GB2312" w:eastAsia="仿宋_GB2312"/>
              </w:rPr>
              <w:t>项目管理机构组成表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报价函 标的清单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响应文件响应有效期</w:t>
            </w:r>
          </w:p>
        </w:tc>
        <w:tc>
          <w:tcPr>
            <w:tcW w:type="dxa" w:w="3322"/>
          </w:tcPr>
          <w:p>
            <w:pPr>
              <w:pStyle w:val="null3"/>
            </w:pPr>
            <w:r>
              <w:rPr>
                <w:rFonts w:ascii="仿宋_GB2312" w:hAnsi="仿宋_GB2312" w:cs="仿宋_GB2312" w:eastAsia="仿宋_GB2312"/>
              </w:rPr>
              <w:t>响应文件响应有效期达到竞争性磋商文件要求的（合格）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或工程造价咨询企业(提供双方合作协议)的造价人员签字并盖执业印章（合格）；已标价工程量清单扉页(仅指投标总价扉页)未加盖注册或登记在本单位的造价人员签字并盖执业印章或工程造价咨询企业(提供双方合作协议)的造价人员签字并盖执业印章（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w:t>
            </w:r>
          </w:p>
        </w:tc>
        <w:tc>
          <w:tcPr>
            <w:tcW w:type="dxa" w:w="2492"/>
          </w:tcPr>
          <w:p>
            <w:pPr>
              <w:pStyle w:val="null3"/>
            </w:pPr>
            <w:r>
              <w:rPr>
                <w:rFonts w:ascii="仿宋_GB2312" w:hAnsi="仿宋_GB2312" w:cs="仿宋_GB2312" w:eastAsia="仿宋_GB2312"/>
              </w:rPr>
              <w:t>提供①分部分项工程概况、②施工平面布置、③施工要求和技术保证条件，④重点难点分析及处理措施。以上内容切合本项目实际情况及实施要求，内容与要点相符、每个要点均有展开详细的阐述且能够适用于本项目的得8分；评审内容任意一项缺项扣2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项目的施工方案.docx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提供全面的①进度安排、②分析关键节点、③确保进度、④保证工期的的技术组织措施（包括施工进度表或施工网络图），以上内容切合本项目实际情况及实施要求，内容与要点相符、每个要点均有展开详细的阐述且能够适用于本项目的得8分；评审内容任意一项缺项扣2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制定切实可行的①总体质量控制目标及分阶段施工的重点难点目标，②质量控制目标进行合理分解、规划，③给出有针对性分段施工方案及其编制依据，④确保本项目质量标准符合该项目质量要求。以上内容切合本项目实际情况及实施要求，内容与要点相符、每个要点均有展开详细的阐述且能够适用于本项目的得8分；评审内容任意一项缺项扣2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施工质量保证措施.docx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结合工程环境、特点分析安全隐患，给出有针对性的①安全施工管理制度、②文明施工保证防护措施、③环保施工保证防护措施，④防尘降噪等保证防护措施。以上内容切合本项目实际情况及实施要求，内容与要点相符、每个要点均有展开详细的阐述且能够适用于本项目的得8分；评审内容任意一项缺项扣2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确保安全、文明施工的技术组织措施.docx</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拟投入本项目的设备、机械、工具等</w:t>
            </w:r>
          </w:p>
        </w:tc>
        <w:tc>
          <w:tcPr>
            <w:tcW w:type="dxa" w:w="2492"/>
          </w:tcPr>
          <w:p>
            <w:pPr>
              <w:pStyle w:val="null3"/>
            </w:pPr>
            <w:r>
              <w:rPr>
                <w:rFonts w:ascii="仿宋_GB2312" w:hAnsi="仿宋_GB2312" w:cs="仿宋_GB2312" w:eastAsia="仿宋_GB2312"/>
              </w:rPr>
              <w:t>拟投入本项目的设备、机械、工具等切合本项目实际情况，方案详细有针对性得6分；评审内容有缺陷（缺陷是指：施工机械设备配备不合理、施工机械配备与项目特点不匹配、套用其他项目方案、存在不可能实现的夸大情形、存在不适用项目实际情况的情形或只有标题没有实质性内容）扣2分，扣完为止，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拟投入本项目的设备、机械、工具等.docx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响应程序、应急处理办法、应急演练、应急物资储备等切合本项目实际情况，方案详细有针对性得4分；评审内容有缺陷（缺陷是指：施工机械设备配备不合理、施工机械配备与项目特点不匹配、套用其他项目方案、存在不可能实现的夸大情形、存在不适用项目实际情况的情形或只有标题没有实质性内容）扣1分，扣完为止，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应急处理方案.docx</w:t>
            </w:r>
          </w:p>
        </w:tc>
      </w:tr>
      <w:tr>
        <w:tc>
          <w:tcPr>
            <w:tcW w:type="dxa" w:w="831"/>
            <w:vMerge/>
          </w:tcPr>
          <w:p/>
        </w:tc>
        <w:tc>
          <w:tcPr>
            <w:tcW w:type="dxa" w:w="1661"/>
          </w:tcPr>
          <w:p>
            <w:pPr>
              <w:pStyle w:val="null3"/>
            </w:pPr>
            <w:r>
              <w:rPr>
                <w:rFonts w:ascii="仿宋_GB2312" w:hAnsi="仿宋_GB2312" w:cs="仿宋_GB2312" w:eastAsia="仿宋_GB2312"/>
              </w:rPr>
              <w:t>项目经理部人员组成的情况</w:t>
            </w:r>
          </w:p>
        </w:tc>
        <w:tc>
          <w:tcPr>
            <w:tcW w:type="dxa" w:w="2492"/>
          </w:tcPr>
          <w:p>
            <w:pPr>
              <w:pStyle w:val="null3"/>
            </w:pPr>
            <w:r>
              <w:rPr>
                <w:rFonts w:ascii="仿宋_GB2312" w:hAnsi="仿宋_GB2312" w:cs="仿宋_GB2312" w:eastAsia="仿宋_GB2312"/>
              </w:rPr>
              <w:t>岗位、专业、分工、专职安全生产管理人员、 作业人员等，配置合理、切合本项目实际情况，方案详细有针对性得8分。评审内容有缺陷（缺陷是指：施工机械设备配备不合理、施工机械配备与项目特点不匹配、套用其他项目方案、存在不可能实现的夸大情形、存在不适用项目实际情况的情形或只有标题没有实质性内容）扣2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项目经理部人员组成的情况.docx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根据提供的项目经理2023年1月1日至今类似项目合同，（以合同签订日期为准），每份计2分，最高计6分。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项目经理业绩.docx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在满足本项目质保期要求的基础上，每新增1年质保计2分，共4分。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根据提供的2023年1月1日至今类似项目合同，（以合同签订日期为准，仅限供应商，包含关键页、签署盖章页），每份计2分，最高计10分。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评标基准价：即满足竞争性磋商文件要求且最终响应报价最低的报价为评标基准价。 其他供应商的价格分统一按照下列公式计算。 响应报价计分=(评标基准价／响应报价)×30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详见附件：项目的施工方案.docx</w:t>
      </w:r>
    </w:p>
    <w:p>
      <w:pPr>
        <w:pStyle w:val="null3"/>
        <w:ind w:firstLine="960"/>
      </w:pPr>
      <w:r>
        <w:rPr>
          <w:rFonts w:ascii="仿宋_GB2312" w:hAnsi="仿宋_GB2312" w:cs="仿宋_GB2312" w:eastAsia="仿宋_GB2312"/>
        </w:rPr>
        <w:t>详见附件：施工质量保证措施.docx</w:t>
      </w:r>
    </w:p>
    <w:p>
      <w:pPr>
        <w:pStyle w:val="null3"/>
        <w:ind w:firstLine="960"/>
      </w:pPr>
      <w:r>
        <w:rPr>
          <w:rFonts w:ascii="仿宋_GB2312" w:hAnsi="仿宋_GB2312" w:cs="仿宋_GB2312" w:eastAsia="仿宋_GB2312"/>
        </w:rPr>
        <w:t>详见附件：施工进度及工期保障措施.docx</w:t>
      </w:r>
    </w:p>
    <w:p>
      <w:pPr>
        <w:pStyle w:val="null3"/>
        <w:ind w:firstLine="960"/>
      </w:pPr>
      <w:r>
        <w:rPr>
          <w:rFonts w:ascii="仿宋_GB2312" w:hAnsi="仿宋_GB2312" w:cs="仿宋_GB2312" w:eastAsia="仿宋_GB2312"/>
        </w:rPr>
        <w:t>详见附件：确保安全、文明施工的技术组织措施.docx</w:t>
      </w:r>
    </w:p>
    <w:p>
      <w:pPr>
        <w:pStyle w:val="null3"/>
        <w:ind w:firstLine="960"/>
      </w:pPr>
      <w:r>
        <w:rPr>
          <w:rFonts w:ascii="仿宋_GB2312" w:hAnsi="仿宋_GB2312" w:cs="仿宋_GB2312" w:eastAsia="仿宋_GB2312"/>
        </w:rPr>
        <w:t>详见附件：拟投入本项目的设备、机械、工具等.docx</w:t>
      </w:r>
    </w:p>
    <w:p>
      <w:pPr>
        <w:pStyle w:val="null3"/>
        <w:ind w:firstLine="960"/>
      </w:pPr>
      <w:r>
        <w:rPr>
          <w:rFonts w:ascii="仿宋_GB2312" w:hAnsi="仿宋_GB2312" w:cs="仿宋_GB2312" w:eastAsia="仿宋_GB2312"/>
        </w:rPr>
        <w:t>详见附件：应急处理方案.docx</w:t>
      </w:r>
    </w:p>
    <w:p>
      <w:pPr>
        <w:pStyle w:val="null3"/>
        <w:ind w:firstLine="960"/>
      </w:pPr>
      <w:r>
        <w:rPr>
          <w:rFonts w:ascii="仿宋_GB2312" w:hAnsi="仿宋_GB2312" w:cs="仿宋_GB2312" w:eastAsia="仿宋_GB2312"/>
        </w:rPr>
        <w:t>详见附件：项目经理部人员组成的情况.docx</w:t>
      </w:r>
    </w:p>
    <w:p>
      <w:pPr>
        <w:pStyle w:val="null3"/>
        <w:ind w:firstLine="960"/>
      </w:pPr>
      <w:r>
        <w:rPr>
          <w:rFonts w:ascii="仿宋_GB2312" w:hAnsi="仿宋_GB2312" w:cs="仿宋_GB2312" w:eastAsia="仿宋_GB2312"/>
        </w:rPr>
        <w:t>详见附件：项目经理业绩.docx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详见附件：工程类合同模板（20万以上）.docx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