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版本号：HWHZ-202604020260703001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档案目标管理认证达标建设项目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HWHZ-2026040</w:t>
      </w:r>
      <w:r>
        <w:br/>
      </w:r>
      <w:r>
        <w:br/>
      </w:r>
      <w:r>
        <w:br/>
      </w:r>
    </w:p>
    <w:p>
      <w:pPr>
        <w:pStyle w:val="null3"/>
        <w:jc w:val="center"/>
        <w:outlineLvl w:val="2"/>
      </w:pPr>
      <w:r>
        <w:rPr>
          <w:rFonts w:ascii="仿宋_GB2312" w:hAnsi="仿宋_GB2312" w:cs="仿宋_GB2312" w:eastAsia="仿宋_GB2312"/>
          <w:sz w:val="28"/>
          <w:b/>
        </w:rPr>
        <w:t>佛坪县公安局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佛坪县公安局</w:t>
      </w:r>
      <w:r>
        <w:rPr>
          <w:rFonts w:ascii="仿宋_GB2312" w:hAnsi="仿宋_GB2312" w:cs="仿宋_GB2312" w:eastAsia="仿宋_GB2312"/>
        </w:rPr>
        <w:t>委托，拟对</w:t>
      </w:r>
      <w:r>
        <w:rPr>
          <w:rFonts w:ascii="仿宋_GB2312" w:hAnsi="仿宋_GB2312" w:cs="仿宋_GB2312" w:eastAsia="仿宋_GB2312"/>
        </w:rPr>
        <w:t>档案目标管理认证达标建设项目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档案目标管理认证达标建设项目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公安局计划将对局机关2023年⾄2025年档案进⾏纸质、数字化归档整理，对各辖区派出所2017年⾄2025年档案进⾏纸质、数字化归档整理。陈家坝派出所、岳坝派出所、西岔河派出所拟认AAA等级认证；局机关、袁家庄派出所、大河坝派出所拟认AA等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采购包1（档案目标管理认证达标建设项目）：属于专门面向中小企业采购。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3、供应商资格承诺函：供应商须按照汉财办采管[2024]20号文件通知要求，提供《汉中市政府采购供应商资格承诺函》；</w:t>
      </w:r>
    </w:p>
    <w:p>
      <w:pPr>
        <w:pStyle w:val="null3"/>
      </w:pPr>
      <w:r>
        <w:rPr>
          <w:rFonts w:ascii="仿宋_GB2312" w:hAnsi="仿宋_GB2312" w:cs="仿宋_GB2312" w:eastAsia="仿宋_GB2312"/>
        </w:rPr>
        <w:t>4、非联合体声明：本项目不接受联合体投标，提供《非联合体声明》。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汉中市佛坪县河提街18号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0916-8913553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扫描仪</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佛坪县公安局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佛坪县公安局计划将对局机关2023年至2025年档案进行纸质、数字化归档整理，对各辖区派出所2017年至2025年档案进行纸质、数字化归档整理。陈家坝派出所、岳坝派出所、西岔河派出所拟认AAA等级认证；局机关、袁家庄派出所、大河坝派出所拟认AA等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佛坪县公安局档案目标管理认证达标建设项目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标的名称：佛坪县公安局档案目标管理认证达标建设项目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、存量档案规范化整理服务</w:t>
            </w:r>
          </w:p>
          <w:p>
            <w:pPr>
              <w:pStyle w:val="null3"/>
              <w:ind w:firstLine="480"/>
              <w:jc w:val="both"/>
            </w:pPr>
            <w:r>
              <w:rPr>
                <w:rFonts w:ascii="仿宋_GB2312" w:hAnsi="仿宋_GB2312" w:cs="仿宋_GB2312" w:eastAsia="仿宋_GB2312"/>
                <w:sz w:val="24"/>
              </w:rPr>
              <w:t>项目概况：覆盖县局机关、陈家坝派出所、岳坝派出所、西岔河派出所、袁家庄派出所、大河坝派出所全部6个点位，对历年所有未归档、零散归档、不合规归档的公安各类档案开展全域盘点归集，档案类型涵盖执法案卷、治安台账、人事档案、财务凭证、基建档案、信访档案、纪检档案等全部公安门类档案。</w:t>
            </w:r>
            <w:r>
              <w:rPr>
                <w:rFonts w:ascii="仿宋_GB2312" w:hAnsi="仿宋_GB2312" w:cs="仿宋_GB2312" w:eastAsia="仿宋_GB2312"/>
                <w:sz w:val="24"/>
              </w:rPr>
              <w:t>拟对陈家坝派出所、岳坝派出所、西岔河派出所申请AAA等级认证；局机关、袁家庄派出所、大河坝派出所拟认证AA等级；形成统一的档案分类、整理、保管、利用标准体系。并对部分档案室硬件设施进行升级改造，最终通过省厅、市局按照上报计划不少于 AA 认定的标准，统一按 AAA 标准创建达标；</w:t>
            </w:r>
          </w:p>
          <w:p>
            <w:pPr>
              <w:pStyle w:val="null3"/>
            </w:pPr>
            <w:r>
              <w:rPr>
                <w:rFonts w:ascii="仿宋_GB2312" w:hAnsi="仿宋_GB2312" w:cs="仿宋_GB2312" w:eastAsia="仿宋_GB2312"/>
                <w:sz w:val="21"/>
              </w:rPr>
              <w:t xml:space="preserve">  服务数量预估：（1）局机关：整理5000件，扫描107000件，条目著录24500件；（</w:t>
            </w:r>
            <w:r>
              <w:rPr>
                <w:rFonts w:ascii="仿宋_GB2312" w:hAnsi="仿宋_GB2312" w:cs="仿宋_GB2312" w:eastAsia="仿宋_GB2312"/>
                <w:sz w:val="24"/>
              </w:rPr>
              <w:t>2）陈家坝派出所：整理1400件，扫描25200件，条目著录8900件；（3）大河坝派出所：整理1400件，扫描25200件，条目著录8900件；（4）西岔河派出所：整理1400件，扫描25200件，条目著录8900件；（5）岳坝派出所：整理1400件，扫描25200件，条目著录8900件；（6）城关派出所：整理1980件，扫描23000件，条目著录99100件；</w:t>
            </w:r>
          </w:p>
          <w:p>
            <w:pPr>
              <w:pStyle w:val="null3"/>
              <w:ind w:firstLine="480"/>
              <w:jc w:val="both"/>
            </w:pPr>
            <w:r>
              <w:rPr>
                <w:rFonts w:ascii="仿宋_GB2312" w:hAnsi="仿宋_GB2312" w:cs="仿宋_GB2312" w:eastAsia="仿宋_GB2312"/>
                <w:sz w:val="24"/>
              </w:rPr>
              <w:t>服务要求：（1）开展档案清查盘点，逐件核对档案原件完整性，修补破损纸张、补齐缺失附件、理顺零散材料，理清档案权属与保管期限；（2）标准化组卷装订，严格按照公安档案立卷规则完成卷内排序、页号编制、卷内目录、备考表填写、案卷装订、案卷封面填制；（3）统一县域档案管理规范，统一6个点位档案分类编号、库房排架、保管期限划分、查阅登记标准，补齐AAA达标所需档案管理制度、台账表单、库房安全管理台账，实现局机关与基层所队档案管理口径一体化。（4）完成档案实体上架，按照档案库房分区规范完成案卷入柜、标签张贴、排架标识布设。</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、档案数字化加工及数据合规处理服务</w:t>
            </w:r>
          </w:p>
          <w:p>
            <w:pPr>
              <w:pStyle w:val="null3"/>
              <w:ind w:firstLine="480"/>
              <w:jc w:val="both"/>
            </w:pPr>
            <w:r>
              <w:rPr>
                <w:rFonts w:ascii="仿宋_GB2312" w:hAnsi="仿宋_GB2312" w:cs="仿宋_GB2312" w:eastAsia="仿宋_GB2312"/>
                <w:sz w:val="24"/>
              </w:rPr>
              <w:t>全部数字化作业在公安各点位办公区域就地开展，禁止纸质原件、原始数据带出公安内网区域。包含档案拆卷、高清扫描、图像纠偏、去噪、裁边、空白页剔除、高清质检、条目著录、元数据校对、数据挂接、备份归档全流程工作。严格按照公安涉密数据要求，所有数字化终端禁止连接外网，扫描图像分辨率不低于300dpi，涉密档案按照公安涉密档案数字化单独规范处理。完成纸质档案与电子档案一一对应关联，电子档案格式、命名、目录结构符合陕西省公安厅公安档案数据入库标准，同步出具数字化质检报告，确保数字化合格率100%，满足省市公安档案系统数据对接要求。</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、档案信息化管理系统部署调试服务</w:t>
            </w:r>
          </w:p>
          <w:p>
            <w:pPr>
              <w:pStyle w:val="null3"/>
              <w:ind w:firstLine="480"/>
              <w:jc w:val="both"/>
            </w:pPr>
            <w:r>
              <w:rPr>
                <w:rFonts w:ascii="仿宋_GB2312" w:hAnsi="仿宋_GB2312" w:cs="仿宋_GB2312" w:eastAsia="仿宋_GB2312"/>
                <w:sz w:val="24"/>
              </w:rPr>
              <w:t>采购并部署公安专用档案管理系统，服务包含系统授权采购、内网环境适配部署、软硬件兼容性调试、档案条目批量导入、电子档案批量挂接、用户权限分级配置、内网安全策略配置、系统日志留存配置。同时配套开展民警内勤实操培训，针对档案录入、查询、借阅、销毁、统计、台账导出六大功能开展现场实操教学，出具系统使用手册，保障内网环境独立运行，无外网数据交互风险。</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、档案配套信息化供货、安装及调试服务</w:t>
            </w:r>
          </w:p>
          <w:p>
            <w:pPr>
              <w:pStyle w:val="null3"/>
              <w:ind w:firstLine="480"/>
              <w:jc w:val="both"/>
            </w:pPr>
            <w:r>
              <w:rPr>
                <w:rFonts w:ascii="仿宋_GB2312" w:hAnsi="仿宋_GB2312" w:cs="仿宋_GB2312" w:eastAsia="仿宋_GB2312"/>
                <w:sz w:val="24"/>
              </w:rPr>
              <w:t>按需供货6套档案信息化办公终端，包含打印机6台、扫描仪6台，分配至6个档案创建点位各1套。所有硬件需符合公安内网入网安全标准，具备公安内网设备入网合规资质，出厂无外网留存模块。服务商负责设备送货上门、点位安装、内网IP配置、扫描仪与档案管理系统端口对接、打印机局域网共享调试、设备驱动适配、设备安全加固，拆除外网无线模块，完成公安内网安全检测，确保设备仅可接入公安业务内网，杜绝网络泄密。</w:t>
            </w:r>
          </w:p>
          <w:p>
            <w:pPr>
              <w:pStyle w:val="null3"/>
              <w:jc w:val="both"/>
            </w:pPr>
            <w:r>
              <w:rPr>
                <w:rFonts w:ascii="仿宋_GB2312" w:hAnsi="仿宋_GB2312" w:cs="仿宋_GB2312" w:eastAsia="仿宋_GB2312"/>
                <w:sz w:val="24"/>
                <w:b/>
              </w:rPr>
              <w:t>5</w:t>
            </w:r>
            <w:r>
              <w:rPr>
                <w:rFonts w:ascii="仿宋_GB2312" w:hAnsi="仿宋_GB2312" w:cs="仿宋_GB2312" w:eastAsia="仿宋_GB2312"/>
                <w:sz w:val="24"/>
                <w:b/>
              </w:rPr>
              <w:t>、档案库房配套物资供货及布设服务</w:t>
            </w:r>
          </w:p>
          <w:p>
            <w:pPr>
              <w:pStyle w:val="null3"/>
              <w:ind w:firstLine="480"/>
              <w:jc w:val="both"/>
            </w:pPr>
            <w:r>
              <w:rPr>
                <w:rFonts w:ascii="仿宋_GB2312" w:hAnsi="仿宋_GB2312" w:cs="仿宋_GB2312" w:eastAsia="仿宋_GB2312"/>
                <w:sz w:val="24"/>
              </w:rPr>
              <w:t>1.库房存储物资：按需定制采购符合公安档案库房标准的钢制密集档案柜、常规双节档案柜一批，根据6个点位库房空间、档案存量合理排布，包含柜体搬运、组装、固定、接地防静电处理、柜体标识张贴；</w:t>
            </w:r>
          </w:p>
          <w:p>
            <w:pPr>
              <w:pStyle w:val="null3"/>
              <w:ind w:firstLine="480"/>
              <w:jc w:val="both"/>
            </w:pPr>
            <w:r>
              <w:rPr>
                <w:rFonts w:ascii="仿宋_GB2312" w:hAnsi="仿宋_GB2312" w:cs="仿宋_GB2312" w:eastAsia="仿宋_GB2312"/>
                <w:sz w:val="24"/>
              </w:rPr>
              <w:t>2.档案装具物资：采购国标无酸公安专用档案盒、档案脊背标签、归档封皮、装订耗材一批，足量满足存量档案及未来3年增量档案归档需求；</w:t>
            </w:r>
          </w:p>
          <w:p>
            <w:pPr>
              <w:pStyle w:val="null3"/>
              <w:ind w:firstLine="480"/>
              <w:jc w:val="both"/>
            </w:pPr>
            <w:r>
              <w:rPr>
                <w:rFonts w:ascii="仿宋_GB2312" w:hAnsi="仿宋_GB2312" w:cs="仿宋_GB2312" w:eastAsia="仿宋_GB2312"/>
                <w:sz w:val="24"/>
              </w:rPr>
              <w:t>3.库房安防物资：按需采购符合消防验收标准的干粉灭火器，6个点位各布设2具，完成库房消防点位合规摆放，张贴消防标识，同步核对库房消防达标合规性。所有物资均符合国家档案库房防潮、防腐蚀、防火、防盗规范，满足AAA档案库房硬件评分指标。</w:t>
            </w:r>
          </w:p>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、档案达标验收辅助及保密合规服务</w:t>
            </w:r>
          </w:p>
          <w:p>
            <w:pPr>
              <w:pStyle w:val="null3"/>
              <w:ind w:firstLine="480"/>
              <w:jc w:val="both"/>
            </w:pPr>
            <w:r>
              <w:rPr>
                <w:rFonts w:ascii="仿宋_GB2312" w:hAnsi="仿宋_GB2312" w:cs="仿宋_GB2312" w:eastAsia="仿宋_GB2312"/>
                <w:sz w:val="24"/>
              </w:rPr>
              <w:t>1.达标迎检辅助：对照《陕西省公安档案工作目标管理认证办法》评分细则，逐条补齐6个点位软硬件、制度、台账、实体、电子档案短板，编制迎检汇报材料、档案自查报告、台账汇编，配合市局、省公安厅两级专家组现场核查、资料核验、库房抽查，全程协助整改扣分项，保障4个点位通过AAA认证、2个点位通过AA认证；</w:t>
            </w:r>
          </w:p>
          <w:p>
            <w:pPr>
              <w:pStyle w:val="null3"/>
              <w:ind w:firstLine="480"/>
              <w:jc w:val="both"/>
            </w:pPr>
            <w:r>
              <w:rPr>
                <w:rFonts w:ascii="仿宋_GB2312" w:hAnsi="仿宋_GB2312" w:cs="仿宋_GB2312" w:eastAsia="仿宋_GB2312"/>
                <w:sz w:val="24"/>
              </w:rPr>
              <w:t>2.全流程保密服务：所有进场作业人员签订保密承诺书，作业全程接受县局保密办监督，作业垃圾、废弃档案碎片统一就地销毁，不外运处理；</w:t>
            </w:r>
          </w:p>
          <w:p>
            <w:pPr>
              <w:pStyle w:val="null3"/>
              <w:ind w:firstLine="480"/>
              <w:jc w:val="both"/>
            </w:pPr>
            <w:r>
              <w:rPr>
                <w:rFonts w:ascii="仿宋_GB2312" w:hAnsi="仿宋_GB2312" w:cs="仿宋_GB2312" w:eastAsia="仿宋_GB2312"/>
                <w:sz w:val="24"/>
              </w:rPr>
              <w:t>3.售后质保服务：项目验收合格后提供1年免费驻场售后，包含档案后期补归、系统运维、硬件故障维修、台账更新指导。</w:t>
            </w:r>
          </w:p>
          <w:p>
            <w:pPr>
              <w:pStyle w:val="null3"/>
              <w:jc w:val="both"/>
            </w:pPr>
            <w:r>
              <w:rPr>
                <w:rFonts w:ascii="仿宋_GB2312" w:hAnsi="仿宋_GB2312" w:cs="仿宋_GB2312" w:eastAsia="仿宋_GB2312"/>
                <w:sz w:val="24"/>
                <w:b/>
              </w:rPr>
              <w:t>7</w:t>
            </w:r>
            <w:r>
              <w:rPr>
                <w:rFonts w:ascii="仿宋_GB2312" w:hAnsi="仿宋_GB2312" w:cs="仿宋_GB2312" w:eastAsia="仿宋_GB2312"/>
                <w:sz w:val="24"/>
                <w:b/>
              </w:rPr>
              <w:t>、作业硬性约束要求</w:t>
            </w:r>
          </w:p>
          <w:p>
            <w:pPr>
              <w:pStyle w:val="null3"/>
              <w:ind w:firstLine="480"/>
              <w:jc w:val="both"/>
            </w:pPr>
            <w:r>
              <w:rPr>
                <w:rFonts w:ascii="仿宋_GB2312" w:hAnsi="仿宋_GB2312" w:cs="仿宋_GB2312" w:eastAsia="仿宋_GB2312"/>
                <w:sz w:val="24"/>
              </w:rPr>
              <w:t>所有档案盘点、整理、扫描、装订、数字化加工全部在佛坪县公安局及下属派出所办公、库房区域就地完成，严禁任何纸质档案原件、涉密档案附件、原始电子数据带离公安管辖区域，严禁使用外网U盘、云盘传输档案数据，违反保密要求将按公安涉密管理规定追责。</w:t>
            </w:r>
          </w:p>
          <w:p>
            <w:pPr>
              <w:pStyle w:val="null3"/>
              <w:outlineLvl w:val="1"/>
            </w:pP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 xml:space="preserve"> 档案室设备清单</w:t>
            </w:r>
          </w:p>
          <w:p>
            <w:pPr>
              <w:pStyle w:val="null3"/>
              <w:jc w:val="left"/>
            </w:pPr>
            <w:r>
              <w:rPr>
                <w:rFonts w:ascii="仿宋_GB2312" w:hAnsi="仿宋_GB2312" w:cs="仿宋_GB2312" w:eastAsia="仿宋_GB2312"/>
                <w:sz w:val="24"/>
                <w:color w:val="000000"/>
              </w:rPr>
              <w:t>说明：</w:t>
            </w:r>
          </w:p>
          <w:p>
            <w:pPr>
              <w:pStyle w:val="null3"/>
              <w:numPr>
                <w:ilvl w:val="0"/>
                <w:numId w:val="1"/>
              </w:numPr>
              <w:jc w:val="left"/>
            </w:pPr>
            <w:r>
              <w:rPr>
                <w:rFonts w:ascii="仿宋_GB2312" w:hAnsi="仿宋_GB2312" w:cs="仿宋_GB2312" w:eastAsia="仿宋_GB2312"/>
                <w:sz w:val="24"/>
                <w:color w:val="000000"/>
              </w:rPr>
              <w:t>下表所列参数为最低实质性要求，供应商所投产品须全部满足或优于下表技术参数，否则视为投标无效；</w:t>
            </w:r>
          </w:p>
          <w:p>
            <w:pPr>
              <w:pStyle w:val="null3"/>
              <w:numPr>
                <w:ilvl w:val="0"/>
                <w:numId w:val="1"/>
              </w:numPr>
              <w:jc w:val="left"/>
            </w:pPr>
            <w:r>
              <w:rPr>
                <w:rFonts w:ascii="仿宋_GB2312" w:hAnsi="仿宋_GB2312" w:cs="仿宋_GB2312" w:eastAsia="仿宋_GB2312"/>
                <w:sz w:val="24"/>
                <w:color w:val="000000"/>
              </w:rPr>
              <w:t>所有设备须为全新原厂正品，符合国家及行业相关质量标准，提供原厂质保服务；</w:t>
            </w:r>
          </w:p>
          <w:p>
            <w:pPr>
              <w:pStyle w:val="null3"/>
              <w:numPr>
                <w:ilvl w:val="0"/>
                <w:numId w:val="1"/>
              </w:numPr>
              <w:jc w:val="left"/>
            </w:pPr>
            <w:r>
              <w:rPr>
                <w:rFonts w:ascii="仿宋_GB2312" w:hAnsi="仿宋_GB2312" w:cs="仿宋_GB2312" w:eastAsia="仿宋_GB2312"/>
                <w:sz w:val="24"/>
                <w:color w:val="000000"/>
              </w:rPr>
              <w:t>设备运输、安装、调试及售后费用均包含在投标总报价中，采购人不再另行支付。</w:t>
            </w:r>
          </w:p>
          <w:tbl>
            <w:tblPr>
              <w:tblInd w:type="dxa" w:w="90"/>
              <w:tblBorders>
                <w:top w:val="none" w:color="000000" w:sz="4"/>
                <w:left w:val="none" w:color="000000" w:sz="4"/>
                <w:bottom w:val="none" w:color="000000" w:sz="4"/>
                <w:right w:val="none" w:color="000000" w:sz="4"/>
                <w:insideH w:val="none"/>
                <w:insideV w:val="none"/>
              </w:tblBorders>
            </w:tblPr>
            <w:tblGrid>
              <w:gridCol w:w="188"/>
              <w:gridCol w:w="259"/>
              <w:gridCol w:w="1559"/>
              <w:gridCol w:w="118"/>
              <w:gridCol w:w="118"/>
              <w:gridCol w:w="298"/>
            </w:tblGrid>
            <w:tr>
              <w:tc>
                <w:tcPr>
                  <w:tcW w:type="dxa" w:w="18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序号</w:t>
                  </w:r>
                </w:p>
              </w:tc>
              <w:tc>
                <w:tcPr>
                  <w:tcW w:type="dxa" w:w="2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项目</w:t>
                  </w:r>
                </w:p>
              </w:tc>
              <w:tc>
                <w:tcPr>
                  <w:tcW w:type="dxa" w:w="15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参数</w:t>
                  </w:r>
                </w:p>
              </w:tc>
              <w:tc>
                <w:tcPr>
                  <w:tcW w:type="dxa" w:w="11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数量</w:t>
                  </w:r>
                </w:p>
              </w:tc>
              <w:tc>
                <w:tcPr>
                  <w:tcW w:type="dxa" w:w="11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单位</w:t>
                  </w:r>
                </w:p>
              </w:tc>
              <w:tc>
                <w:tcPr>
                  <w:tcW w:type="dxa" w:w="29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需提供佐证材料</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259"/>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打印机</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2"/>
                      <w:color w:val="000000"/>
                    </w:rPr>
                    <w:t>1.幅面：支持A4及以下尺寸打印、复印、扫描；</w:t>
                  </w:r>
                  <w:r>
                    <w:br/>
                  </w:r>
                  <w:r>
                    <w:rPr>
                      <w:rFonts w:ascii="仿宋_GB2312" w:hAnsi="仿宋_GB2312" w:cs="仿宋_GB2312" w:eastAsia="仿宋_GB2312"/>
                      <w:sz w:val="22"/>
                      <w:color w:val="000000"/>
                    </w:rPr>
                    <w:t>2.打印功能：具备自动双面打印功能；</w:t>
                  </w:r>
                  <w:r>
                    <w:br/>
                  </w:r>
                  <w:r>
                    <w:rPr>
                      <w:rFonts w:ascii="仿宋_GB2312" w:hAnsi="仿宋_GB2312" w:cs="仿宋_GB2312" w:eastAsia="仿宋_GB2312"/>
                      <w:sz w:val="22"/>
                      <w:color w:val="000000"/>
                    </w:rPr>
                    <w:t>3.扫描复印：配备平板扫描台及自动输稿器，支持批量原稿连续复印、扫描；</w:t>
                  </w:r>
                  <w:r>
                    <w:br/>
                  </w:r>
                  <w:r>
                    <w:rPr>
                      <w:rFonts w:ascii="仿宋_GB2312" w:hAnsi="仿宋_GB2312" w:cs="仿宋_GB2312" w:eastAsia="仿宋_GB2312"/>
                      <w:sz w:val="22"/>
                      <w:color w:val="000000"/>
                    </w:rPr>
                    <w:t>4.进纸配置：标配封闭式纸盒，纸盒进纸容量不低于250页，附带多功能手动进纸槽，进纸容量不少于10页；</w:t>
                  </w:r>
                  <w:r>
                    <w:br/>
                  </w:r>
                  <w:r>
                    <w:rPr>
                      <w:rFonts w:ascii="仿宋_GB2312" w:hAnsi="仿宋_GB2312" w:cs="仿宋_GB2312" w:eastAsia="仿宋_GB2312"/>
                      <w:sz w:val="22"/>
                      <w:color w:val="000000"/>
                    </w:rPr>
                    <w:t>5.耗材要求：耗材支持高打印负荷、支持单独更换墨粉，单支碳粉盒标称打印容量≥3000页，成像组件标称使用寿命≥30000页</w:t>
                  </w:r>
                </w:p>
                <w:p>
                  <w:pPr>
                    <w:pStyle w:val="null3"/>
                    <w:spacing w:before="105" w:after="105"/>
                    <w:jc w:val="left"/>
                  </w:pPr>
                  <w:r>
                    <w:rPr>
                      <w:rFonts w:ascii="仿宋_GB2312" w:hAnsi="仿宋_GB2312" w:cs="仿宋_GB2312" w:eastAsia="仿宋_GB2312"/>
                      <w:sz w:val="22"/>
                      <w:color w:val="000000"/>
                    </w:rPr>
                    <w:t>6.本产品为强制节能产品，需提供节能产品认证证书。</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说明书、合格证、</w:t>
                  </w:r>
                  <w:r>
                    <w:rPr>
                      <w:rFonts w:ascii="仿宋_GB2312" w:hAnsi="仿宋_GB2312" w:cs="仿宋_GB2312" w:eastAsia="仿宋_GB2312"/>
                      <w:sz w:val="22"/>
                      <w:color w:val="000000"/>
                    </w:rPr>
                    <w:t>节能产品认证证书</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259"/>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扫描仪</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1.幅面：支持A4扫描，平板+ADF双扫描平台；</w:t>
                  </w:r>
                  <w:r>
                    <w:br/>
                  </w:r>
                  <w:r>
                    <w:rPr>
                      <w:rFonts w:ascii="仿宋_GB2312" w:hAnsi="仿宋_GB2312" w:cs="仿宋_GB2312" w:eastAsia="仿宋_GB2312"/>
                      <w:sz w:val="22"/>
                      <w:color w:val="000000"/>
                    </w:rPr>
                    <w:t>2.扫描性能：光学分辨率≥1200×1200dpi，扫描范围≥216mm×296mm，A4幅面扫描速度≥6页/分钟；</w:t>
                  </w:r>
                  <w:r>
                    <w:br/>
                  </w:r>
                  <w:r>
                    <w:rPr>
                      <w:rFonts w:ascii="仿宋_GB2312" w:hAnsi="仿宋_GB2312" w:cs="仿宋_GB2312" w:eastAsia="仿宋_GB2312"/>
                      <w:sz w:val="22"/>
                      <w:color w:val="000000"/>
                    </w:rPr>
                    <w:t>3.接口与格式：配备高速USB接口，支持JPG、TIFF、PDF等常用办公格式输出；</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说明书、合格证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w:t>
                  </w:r>
                </w:p>
              </w:tc>
              <w:tc>
                <w:tcPr>
                  <w:tcW w:type="dxa" w:w="259"/>
                  <w:tcBorders>
                    <w:top w:val="singl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综合档案管理系统</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2"/>
                      <w:color w:val="000000"/>
                    </w:rPr>
                    <w:t>1.需具备档案著录管理、目录多条件检索、双层 PDF 全文检索、纸质档案借阅登记、多维度统计、销毁鉴定记录、全宗与门类配置、字典维护、Excel 自定义报表、树状分类库维护等核心功能；</w:t>
                  </w:r>
                </w:p>
                <w:p>
                  <w:pPr>
                    <w:pStyle w:val="null3"/>
                    <w:spacing w:before="105" w:after="105"/>
                    <w:jc w:val="left"/>
                  </w:pPr>
                  <w:r>
                    <w:rPr>
                      <w:rFonts w:ascii="仿宋_GB2312" w:hAnsi="仿宋_GB2312" w:cs="仿宋_GB2312" w:eastAsia="仿宋_GB2312"/>
                      <w:sz w:val="22"/>
                      <w:color w:val="000000"/>
                    </w:rPr>
                    <w:t>2.系统适配PC终端运行，运行环境要求为x86架构、主频≥2.4GHz处理器、内存≥8G、硬盘≥1TB，适配Windows10及以上操作系统，存储容量可根据业务数据量调整。</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套</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提供软件著作权、操作手册</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4</w:t>
                  </w:r>
                </w:p>
              </w:tc>
              <w:tc>
                <w:tcPr>
                  <w:tcW w:type="dxa" w:w="25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手提式粉灭火器</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手提式</w:t>
                  </w:r>
                  <w:r>
                    <w:rPr>
                      <w:rFonts w:ascii="仿宋_GB2312" w:hAnsi="仿宋_GB2312" w:cs="仿宋_GB2312" w:eastAsia="仿宋_GB2312"/>
                      <w:sz w:val="22"/>
                      <w:color w:val="000000"/>
                    </w:rPr>
                    <w:t>ABC干粉灭火器，灭火剂充装量≥4kg，符合国家消防产品强制性认证标粉灭火器准，具备有效合格证明。</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12</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个</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说明书、合格证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5</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分体五节柜</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1.外形尺寸：单组整体外形尺寸850mm（宽）×390mm（深）×1950mm（高），允许尺寸公差±10mm；分体五节组合式档案柜；2.分体五节独立单元结构，各节可自由拆分、堆叠组合安装，堆叠后整体稳固不倾倒；3.材质:优质冷轧钢板，表面静电喷塑处理，具备防潮、防锈、防腐蚀性能，柜门带锁具。</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28</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套</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指针式温度计</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可实时监测并直观显示室内温度、湿度数值，测量精度满足档案环境监测要求。</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5</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只</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7</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档案室专档案室专用防虫剂</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无腐蚀性、无刺激性异味，对纸质档案及装具无损害，具备长效防虫防霉效果</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100</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包</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合格证</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8</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档案室制牌</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50cmX70cm，14mm厚PVC板覆水晶膜，画面印刷清晰，耐磨防褪色，可直接上墙安装。</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24</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个</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定制产品提供产品质量承诺</w:t>
                  </w:r>
                </w:p>
              </w:tc>
            </w:tr>
            <w:tr>
              <w:tc>
                <w:tcPr>
                  <w:tcW w:type="dxa" w:w="18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9</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档案柜标签贴</w:t>
                  </w:r>
                </w:p>
              </w:tc>
              <w:tc>
                <w:tcPr>
                  <w:tcW w:type="dxa" w:w="15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写真背胶覆膜材质，粘贴牢固、字迹清晰耐磨损，用于档案柜分类标识。</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11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个</w:t>
                  </w:r>
                </w:p>
              </w:tc>
              <w:tc>
                <w:tcPr>
                  <w:tcW w:type="dxa" w:w="2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合格证</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进度款，项目完成一半，达到付款条件起10个工作日内，支付合同总金额的30.0%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进度款，项目全部验收合格达到评级后，达到付款条件起10个工作日内，支付合同总金额的40.0%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响应文件签署身份证明.docx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符合采购⽂件要求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符合采购⽂件要求，内容⻬全、⽆遗漏</w:t>
            </w:r>
          </w:p>
        </w:tc>
        <w:tc>
          <w:tcPr>
            <w:tcW w:type="dxa" w:w="1661"/>
          </w:tcPr>
          <w:p>
            <w:pPr>
              <w:pStyle w:val="null3"/>
            </w:pPr>
            <w:r>
              <w:rPr>
                <w:rFonts w:ascii="仿宋_GB2312" w:hAnsi="仿宋_GB2312" w:cs="仿宋_GB2312" w:eastAsia="仿宋_GB2312"/>
              </w:rPr>
              <w:t>企业证书.docx 响应文件签署身份证明.docx 中小企业声明函 商务应答表 供应商应提交的相关资格证明材料 服务内容及服务要求应答表 报价表 拟投入设备明细.docx 汉中市政府采购供应商资格承诺函.docx 响应文件封面 分项报价表.docx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均按采购⽂件要求签字盖章</w:t>
            </w:r>
          </w:p>
        </w:tc>
        <w:tc>
          <w:tcPr>
            <w:tcW w:type="dxa" w:w="1661"/>
          </w:tcPr>
          <w:p>
            <w:pPr>
              <w:pStyle w:val="null3"/>
            </w:pPr>
            <w:r>
              <w:rPr>
                <w:rFonts w:ascii="仿宋_GB2312" w:hAnsi="仿宋_GB2312" w:cs="仿宋_GB2312" w:eastAsia="仿宋_GB2312"/>
              </w:rPr>
              <w:t>企业证书.docx 响应文件签署身份证明.docx 中小企业声明函 商务应答表 服务内容及服务要求应答表 供应商应提交的相关资格证明材料 报价表 拟投入设备明细.docx 汉中市政府采购供应商资格承诺函.docx 响应文件封面 分项报价表.docx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不得提交选择性报价，投标报价符合采购⽂件要求</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供应商提供2023年1月1日（以合同签订日期为准）至今完成的档案整理类似项目业绩，每提供一份得2.5分，最高得5分。 注：业绩须是供应商完成的类似项目，以成交通知书或协议书（合同）加盖单位公章的复印件为准。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项目负责人资质</w:t>
            </w:r>
          </w:p>
        </w:tc>
        <w:tc>
          <w:tcPr>
            <w:tcW w:type="dxa" w:w="2492"/>
          </w:tcPr>
          <w:p>
            <w:pPr>
              <w:pStyle w:val="null3"/>
            </w:pPr>
            <w:r>
              <w:rPr>
                <w:rFonts w:ascii="仿宋_GB2312" w:hAnsi="仿宋_GB2312" w:cs="仿宋_GB2312" w:eastAsia="仿宋_GB2312"/>
              </w:rPr>
              <w:t>项目负责人资质（满分7分）（1）具有档案管理相关岗位培训合格证书，得3分；（2）具有国家信息安全水平类证书，得2分；（3）具有省级或以上保密行政管理部门颁发的保密培训证书，得2分。 评审依据：提供身份证、证书复印件，并加盖公章。未提供或提供不全不得分。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团队其他人员资质（满分8分）（1）除项目负责人外，拟派团队每1人持有国家信息安全水平类证书，得2分，最高4分；（2）除项目负责人外，拟派团队每1人持有省级或以上保密行政管理部门颁发的保密培训证书，得2分，最高4分。 评审依据：提供身份证、证书复印件，并加盖公章。未提供或提供不全不得分。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企业证书（满分10分）：供应商自身拥有与数字档案信息化服务相关的计算机软件著作权登记证书，每提供 1 份有效证书得2分，本项累计最高得10分。 相关软件著作包含但不限于：档案检索筛选、电子档案管理、数字档案智能处理、档案扫描自动识别、档案安全加密类软件等，软件功能覆盖上述任一方向即可计分。 评审依据：提供证书扫描件并加盖公章，著作权人须为投标人本身；如为受让取得权利，须同时提供版权转让证明文件。未提供或提供不全不得分。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企业证书.docx</w:t>
            </w:r>
          </w:p>
        </w:tc>
      </w:tr>
      <w:tr>
        <w:tc>
          <w:tcPr>
            <w:tcW w:type="dxa" w:w="831"/>
            <w:vMerge/>
          </w:tcPr>
          <w:p/>
        </w:tc>
        <w:tc>
          <w:tcPr>
            <w:tcW w:type="dxa" w:w="1661"/>
          </w:tcPr>
          <w:p>
            <w:pPr>
              <w:pStyle w:val="null3"/>
            </w:pPr>
            <w:r>
              <w:rPr>
                <w:rFonts w:ascii="仿宋_GB2312" w:hAnsi="仿宋_GB2312" w:cs="仿宋_GB2312" w:eastAsia="仿宋_GB2312"/>
              </w:rPr>
              <w:t>设备参数</w:t>
            </w:r>
          </w:p>
        </w:tc>
        <w:tc>
          <w:tcPr>
            <w:tcW w:type="dxa" w:w="2492"/>
          </w:tcPr>
          <w:p>
            <w:pPr>
              <w:pStyle w:val="null3"/>
            </w:pPr>
            <w:r>
              <w:rPr>
                <w:rFonts w:ascii="仿宋_GB2312" w:hAnsi="仿宋_GB2312" w:cs="仿宋_GB2312" w:eastAsia="仿宋_GB2312"/>
              </w:rPr>
              <w:t>3.2.2服务要求中设备档案清单含9项内容，供应商提供设备的技术指标和性能优于或完全满足磋商文件计9分。供应商须在响应文件中进行逐一响应，并提供清单中要求佐证材料。评审依据：复印件加盖公章。证明材料不满足或未提供证明材料，按负偏离处理，每1项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拟投入设备配置</w:t>
            </w:r>
          </w:p>
        </w:tc>
        <w:tc>
          <w:tcPr>
            <w:tcW w:type="dxa" w:w="2492"/>
          </w:tcPr>
          <w:p>
            <w:pPr>
              <w:pStyle w:val="null3"/>
            </w:pPr>
            <w:r>
              <w:rPr>
                <w:rFonts w:ascii="仿宋_GB2312" w:hAnsi="仿宋_GB2312" w:cs="仿宋_GB2312" w:eastAsia="仿宋_GB2312"/>
              </w:rPr>
              <w:t>拟投入设备（打印机及扫描仪为一套），每提供一套得1分，满分6分。 评审依据：提供设备购买发票或租赁合同。未提供或提供不全不得分。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拟投入设备明细.docx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本项目为公安涉密档案管理项目，供应商须单独出具加盖公章的专项保密承诺书，承诺书完整包含以下5项内容，每完整满足1项得1分，缺项或内容敷衍、未明确约束条款不得分：①接触范围②离场管理③数据权属④存储、介质、设备保密管理⑤废弃物品销毁。注：承诺书仅简单提及标题、无具体管控措施的，该项不予计分；未加盖公章的保密承诺书本项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一、评审内容：①现状分析②实施总体思路③服务目标④服务范围⑤交付标准。 二、评审标准：以上内容全面详细、阐述条理清晰详尽、可落地实施符合本项目需求得15分。 三、赋分标准：评审内容每缺一项扣3分，评审内容有缺陷的扣1.5分，未提供不得分。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一、评审内容：①总体进度安排②工期保障方案。二、评审标准：以上内容全面详细、阐述条理清晰详尽、可落地实施符合本项目需求得4分。 三、赋分标准：评审内容每缺一项扣2分，评审内容有缺陷的扣1分，未提供不得分。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一、评审内容：①质量目标②质量保证措施③质保响应时间及服务标准。二、评审标准：以上内容全面详细、阐述条理清晰详尽、可落地实施符合本项目需求得9分。 三、赋分标准：评审内容每缺一项扣3分，评审内容有缺陷的扣1.5分，未提供不得分。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安全保障及保密方案</w:t>
            </w:r>
          </w:p>
        </w:tc>
        <w:tc>
          <w:tcPr>
            <w:tcW w:type="dxa" w:w="2492"/>
          </w:tcPr>
          <w:p>
            <w:pPr>
              <w:pStyle w:val="null3"/>
            </w:pPr>
            <w:r>
              <w:rPr>
                <w:rFonts w:ascii="仿宋_GB2312" w:hAnsi="仿宋_GB2312" w:cs="仿宋_GB2312" w:eastAsia="仿宋_GB2312"/>
              </w:rPr>
              <w:t>一、评审内容：①安全保障制度②保密管理制度③保密措施④应急预案及措施。二、评审标准：以上内容全面详细、阐述条理清晰详尽、可落地实施符合本项目需求得12分。 三、赋分标准：评审内容每缺一项扣3分，评审内容有缺陷的扣1.5分，未提供不得分。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1、上限为最高限价，即报价大于上限价视为无效标； 2、以满足本次采购文件要求的最低报价为评审基准价，其价格为满分； 3、不享有政策优惠条件的供应商报价得分=（评审基准价/最终报价）*10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详见附件：企业证书.docx</w:t>
      </w:r>
    </w:p>
    <w:p>
      <w:pPr>
        <w:pStyle w:val="null3"/>
        <w:ind w:firstLine="960"/>
      </w:pPr>
      <w:r>
        <w:rPr>
          <w:rFonts w:ascii="仿宋_GB2312" w:hAnsi="仿宋_GB2312" w:cs="仿宋_GB2312" w:eastAsia="仿宋_GB2312"/>
        </w:rPr>
        <w:t>详见附件：拟投入设备明细.docx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详见附件：响应文件签署身份证明.docx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