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版本号：KY2026-1-74020260821001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环境箱熔覆设备采购项目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KY2026-1-740</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环境箱熔覆设备采购项目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KY2026-1-740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环境箱熔覆设备采购项目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采购包1（环境箱熔覆设备）：属于专门面向中小企业采购。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2、声明函：本项目专门面向中小企业采购，响应产品的制造商应为中型企业或小型、微型企业或监狱企业或残疾人福利性单位，供应商须提供声明函。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银行账号：86113010750181502001630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代理服务费收费标准：中标人应依据中标金额向采购代理机构交纳中标服务费，交费金额以国家计委颁布的《招标代理服务收费管理暂行办法》(计价格[2002]1980号)文件为依据计代理服务费，按照以下要求计： 1、100万元(不含)以下的项目，按照文件标准计费收取； 2、100万元(含)以上的项目，按照文件标准上限75%计费。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联系人：汪涛、刘金柯</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具体内容详见谈判文件第三章。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环境箱熔覆设备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标的名称：环境箱熔覆设备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24"/>
                <w:b/>
                <w:color w:val="000000"/>
              </w:rPr>
              <w:t>采购清单及技术标准、配置要求：</w:t>
            </w:r>
          </w:p>
          <w:p>
            <w:pPr>
              <w:pStyle w:val="null3"/>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采购清单</w:t>
            </w:r>
          </w:p>
          <w:tbl>
            <w:tblPr>
              <w:tblBorders>
                <w:top w:val="none" w:color="000000" w:sz="4"/>
                <w:left w:val="none" w:color="000000" w:sz="4"/>
                <w:bottom w:val="none" w:color="000000" w:sz="4"/>
                <w:right w:val="none" w:color="000000" w:sz="4"/>
                <w:insideH w:val="none"/>
                <w:insideV w:val="none"/>
              </w:tblBorders>
            </w:tblPr>
            <w:tblGrid>
              <w:gridCol w:w="313"/>
              <w:gridCol w:w="1537"/>
              <w:gridCol w:w="339"/>
              <w:gridCol w:w="365"/>
            </w:tblGrid>
            <w:tr>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序号</w:t>
                  </w:r>
                </w:p>
              </w:tc>
              <w:tc>
                <w:tcPr>
                  <w:tcW w:type="dxa" w:w="15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产品名称</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数量</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单位</w:t>
                  </w:r>
                </w:p>
              </w:tc>
            </w:tr>
            <w:tr>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环境箱熔覆设备</w:t>
                  </w:r>
                </w:p>
                <w:p>
                  <w:pPr>
                    <w:pStyle w:val="null3"/>
                    <w:jc w:val="center"/>
                  </w:pPr>
                  <w:r>
                    <w:rPr>
                      <w:rFonts w:ascii="仿宋_GB2312" w:hAnsi="仿宋_GB2312" w:cs="仿宋_GB2312" w:eastAsia="仿宋_GB2312"/>
                      <w:sz w:val="24"/>
                      <w:color w:val="000000"/>
                    </w:rPr>
                    <w:t>【核心产品】</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r>
          </w:tbl>
          <w:p>
            <w:pPr>
              <w:pStyle w:val="null3"/>
              <w:jc w:val="left"/>
            </w:pPr>
            <w:r>
              <w:rPr>
                <w:rFonts w:ascii="仿宋_GB2312" w:hAnsi="仿宋_GB2312" w:cs="仿宋_GB2312" w:eastAsia="仿宋_GB2312"/>
                <w:sz w:val="24"/>
                <w:b/>
                <w:color w:val="000000"/>
              </w:rPr>
              <w:t>二、技术标准、配置要求</w:t>
            </w:r>
          </w:p>
          <w:tbl>
            <w:tblPr>
              <w:tblBorders>
                <w:top w:val="none" w:color="000000" w:sz="4"/>
                <w:left w:val="none" w:color="000000" w:sz="4"/>
                <w:bottom w:val="none" w:color="000000" w:sz="4"/>
                <w:right w:val="none" w:color="000000" w:sz="4"/>
                <w:insideH w:val="none"/>
                <w:insideV w:val="none"/>
              </w:tblBorders>
            </w:tblPr>
            <w:tblGrid>
              <w:gridCol w:w="131"/>
              <w:gridCol w:w="241"/>
              <w:gridCol w:w="1241"/>
              <w:gridCol w:w="587"/>
              <w:gridCol w:w="179"/>
              <w:gridCol w:w="171"/>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序号</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产品名称</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技术标准</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配置要求</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数量</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备注</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环境箱熔覆设备</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激光器性能：输出功率大于等于 2000W，光纤接口和激光头接口匹配；</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支持连续或调制模式，波长稳定性±5nm，光束质量优异（BPP ≤8.4mm ·mrad），适配高精度熔覆需求；</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运动控制精度：三轴行程覆盖 ≥400mm×400mm×400 mm，重复定位精度≤±0.05mm，承载能力≥ 30kg；</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环境控制能力：惰性气体环境箱可将水氧含量降至 50ppm以下，泄漏率≤0.05vol%/h，保障高温敏感材料的无氧化加工；</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工艺适应性：送粉器支持0.2-300g/min 的宽范围送粉；</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粉末粒度兼容 20-400 μm（如陶瓷颗粒增强金属基复合材料）；</w:t>
                  </w:r>
                  <w:r>
                    <w:rPr>
                      <w:rFonts w:ascii="仿宋_GB2312" w:hAnsi="仿宋_GB2312" w:cs="仿宋_GB2312" w:eastAsia="仿宋_GB2312"/>
                      <w:sz w:val="24"/>
                      <w:b/>
                      <w:color w:val="000000"/>
                    </w:rPr>
                    <w:t>（提供佐证材料）</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系统稳定性：水冷系统主回路流量 20L/min，外光路独立控温至±1℃, 稳压电源输出精度±2%，确保设备长时间连续运行；</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安全防护：激光器具备多重保护机制（如过热保护，异常报警等）；</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配置真空泵，可对过渡舱抽真空，并保持箱体压力平衡，真空泵极限真空度≤5Pa。</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激光器1套（配置一根配套使用的≥20米的光纤）</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水冷机1套</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三轴运动机构 1 套</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环境箱体1 套</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激光熔覆头 1 套</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同轴环形喷嘴 2 套</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内置双筒送粉器 1 套</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稳压器（配套激光器稳压使用）1套</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控制系统一套</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三维切片软件 1 套</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备品配件：激光防护眼镜2 套，擦镜纸2 本，激光头窗口保护镜 10 片，送粉刮板 1套，工具扳手1 套等</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color w:val="000000"/>
              </w:rPr>
              <w:t>备注：</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60 日历日内完成交付、安装及调试、验收等工作。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西安建筑科技大学北院冶金南楼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1、项目质保期：自验收合格之日起计算，质保期1 年。 2、售后服务响应时间（质保期内）：（1）在质保期内，产品一旦发生质量问题，成交供应商需要在4小时内对故障做出响应，8小时内明确故障原因，如有必要厂家维修工程师在48小时内到用户现场进行维修，3天内修好。（2）质保期外，成交供应商在接到采购人故障通知后优先安排维修人员到达现场进行维修服务。质保期外只收取零备件成本费用。免费7*24小时在线技术支持，随时提供各种技术支持和在线排障支持。终身服务：24小时内响应，零配件和耗材随意随量订购。 3、培训服务要求：成交供应商须安排厂家工程师对所供产品进行安装、调试和操作培训，并免费对采购人操作人员进行常规设备操作、故障排除、设备维护保养培训，直至完全能独立操作。制造商提供国内培训中心免费专业培训名额2人，直至完全能独立操作。</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4、本项目谈判报价包括设备配套固定件、安装与调试。 5、供应商所投产品为成熟商业化产品，不接受处于科研阶段或需定制的产品。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7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③社会保障资金缴存证明：提供2025年7月至今已缴存的至少一个月的社会保障资金缴存单据或社保机构开具的社会保险参保缴费情况证明，依法不需要缴纳社会保障资金的单位应提供相关证明材料。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中小企业声明函.docx 保证金交纳凭证保函.docx 供应商承诺书.docx 商务条款响应说明.docx 技术指标偏差表.docx 响应文件封面 分项报价表.docx 残疾人福利性单位声明函 标的清单 关于符合本国产品标准的声明函 响应报价表.docx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分项报价表.docx 标的清单 关于符合本国产品标准的声明函 报价表 响应报价表.docx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