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FACA2">
      <w:pPr>
        <w:spacing w:line="640" w:lineRule="exact"/>
        <w:jc w:val="center"/>
        <w:outlineLvl w:val="0"/>
        <w:rPr>
          <w:rFonts w:hint="eastAsia" w:ascii="仿宋" w:hAnsi="仿宋" w:eastAsia="仿宋" w:cs="仿宋"/>
          <w:color w:val="auto"/>
          <w:sz w:val="24"/>
        </w:rPr>
      </w:pPr>
      <w:r>
        <w:rPr>
          <w:rFonts w:hint="eastAsia" w:ascii="仿宋" w:hAnsi="仿宋" w:eastAsia="仿宋" w:cs="仿宋"/>
          <w:b/>
          <w:color w:val="auto"/>
          <w:kern w:val="0"/>
          <w:sz w:val="36"/>
          <w:szCs w:val="36"/>
          <w:lang w:eastAsia="zh-Hans"/>
        </w:rPr>
        <w:t>拟签订采购合同文本</w:t>
      </w:r>
    </w:p>
    <w:p w14:paraId="578276E1">
      <w:pPr>
        <w:spacing w:line="520" w:lineRule="exact"/>
        <w:jc w:val="center"/>
        <w:rPr>
          <w:rFonts w:ascii="方正公文小标宋" w:hAnsi="方正公文小标宋" w:eastAsia="方正公文小标宋" w:cs="方正公文小标宋"/>
          <w:b/>
          <w:bCs/>
          <w:sz w:val="44"/>
          <w:szCs w:val="44"/>
          <w:lang w:val="zh-CN"/>
        </w:rPr>
      </w:pPr>
    </w:p>
    <w:p w14:paraId="62699DE8">
      <w:pPr>
        <w:spacing w:line="360" w:lineRule="auto"/>
        <w:jc w:val="center"/>
        <w:rPr>
          <w:rFonts w:ascii="方正小标宋_GBK" w:hAnsi="方正小标宋_GBK" w:eastAsia="方正小标宋_GBK" w:cs="方正小标宋_GBK"/>
          <w:b/>
          <w:bCs/>
          <w:sz w:val="44"/>
          <w:szCs w:val="44"/>
        </w:rPr>
      </w:pPr>
      <w:r>
        <w:rPr>
          <w:rFonts w:hint="eastAsia" w:ascii="方正小标宋_GBK" w:hAnsi="方正小标宋_GBK" w:eastAsia="方正小标宋_GBK" w:cs="方正小标宋_GBK"/>
          <w:b/>
          <w:bCs/>
          <w:sz w:val="44"/>
          <w:szCs w:val="44"/>
          <w:lang w:bidi="ar"/>
        </w:rPr>
        <w:t>秦巴山区农林遥感与智能农机实验室</w:t>
      </w:r>
    </w:p>
    <w:p w14:paraId="3E59F50F">
      <w:pPr>
        <w:spacing w:line="360" w:lineRule="auto"/>
        <w:jc w:val="center"/>
        <w:rPr>
          <w:rFonts w:ascii="方正公文小标宋" w:hAnsi="方正公文小标宋" w:eastAsia="方正小标宋_GBK" w:cs="方正公文小标宋"/>
          <w:b/>
          <w:bCs/>
          <w:sz w:val="44"/>
          <w:szCs w:val="44"/>
        </w:rPr>
      </w:pPr>
      <w:r>
        <w:rPr>
          <w:rFonts w:hint="eastAsia" w:ascii="方正小标宋_GBK" w:hAnsi="方正小标宋_GBK" w:eastAsia="方正小标宋_GBK" w:cs="方正小标宋_GBK"/>
          <w:b/>
          <w:bCs/>
          <w:sz w:val="44"/>
          <w:szCs w:val="44"/>
          <w:lang w:bidi="ar"/>
        </w:rPr>
        <w:t>建设项目合同</w:t>
      </w:r>
    </w:p>
    <w:p w14:paraId="05557568">
      <w:pPr>
        <w:spacing w:line="360" w:lineRule="auto"/>
        <w:jc w:val="center"/>
        <w:rPr>
          <w:rFonts w:ascii="方正公文小标宋" w:hAnsi="方正公文小标宋" w:eastAsia="方正公文小标宋" w:cs="方正公文小标宋"/>
          <w:b/>
          <w:bCs/>
          <w:sz w:val="44"/>
          <w:szCs w:val="44"/>
        </w:rPr>
      </w:pPr>
      <w:r>
        <w:rPr>
          <w:rFonts w:hint="eastAsia" w:ascii="方正公文小标宋" w:hAnsi="方正公文小标宋" w:eastAsia="方正公文小标宋" w:cs="方正公文小标宋"/>
          <w:b/>
          <w:bCs/>
          <w:sz w:val="44"/>
          <w:szCs w:val="44"/>
          <w:lang w:bidi="ar"/>
        </w:rPr>
        <w:t xml:space="preserve"> </w:t>
      </w:r>
    </w:p>
    <w:p w14:paraId="56F9B26C">
      <w:pPr>
        <w:spacing w:line="360" w:lineRule="auto"/>
        <w:jc w:val="center"/>
        <w:rPr>
          <w:rFonts w:ascii="方正公文小标宋" w:hAnsi="方正公文小标宋" w:eastAsia="方正公文小标宋" w:cs="方正公文小标宋"/>
          <w:b/>
          <w:bCs/>
          <w:sz w:val="44"/>
          <w:szCs w:val="44"/>
        </w:rPr>
      </w:pPr>
    </w:p>
    <w:p w14:paraId="1EDCD796">
      <w:pPr>
        <w:spacing w:line="360" w:lineRule="auto"/>
        <w:jc w:val="center"/>
        <w:rPr>
          <w:rFonts w:ascii="方正公文小标宋" w:hAnsi="方正公文小标宋" w:eastAsia="方正公文小标宋" w:cs="方正公文小标宋"/>
          <w:b/>
          <w:bCs/>
          <w:sz w:val="44"/>
          <w:szCs w:val="44"/>
        </w:rPr>
      </w:pPr>
    </w:p>
    <w:p w14:paraId="572E4500">
      <w:pPr>
        <w:spacing w:line="360" w:lineRule="auto"/>
        <w:jc w:val="center"/>
        <w:rPr>
          <w:rFonts w:ascii="方正公文小标宋" w:hAnsi="方正公文小标宋" w:eastAsia="方正公文小标宋" w:cs="方正公文小标宋"/>
          <w:b/>
          <w:bCs/>
          <w:sz w:val="44"/>
          <w:szCs w:val="44"/>
        </w:rPr>
      </w:pPr>
    </w:p>
    <w:p w14:paraId="77F76F49">
      <w:pPr>
        <w:spacing w:line="360" w:lineRule="auto"/>
        <w:jc w:val="center"/>
        <w:rPr>
          <w:rFonts w:ascii="方正公文小标宋" w:hAnsi="方正公文小标宋" w:eastAsia="方正公文小标宋" w:cs="方正公文小标宋"/>
          <w:b/>
          <w:bCs/>
          <w:sz w:val="44"/>
          <w:szCs w:val="44"/>
        </w:rPr>
      </w:pPr>
    </w:p>
    <w:p w14:paraId="3B0DF03F">
      <w:pPr>
        <w:spacing w:line="360" w:lineRule="auto"/>
        <w:ind w:firstLine="1928" w:firstLineChars="600"/>
        <w:rPr>
          <w:rFonts w:ascii="仿宋" w:hAnsi="仿宋" w:eastAsia="仿宋" w:cs="仿宋"/>
          <w:b/>
          <w:bCs/>
          <w:sz w:val="32"/>
          <w:szCs w:val="32"/>
        </w:rPr>
      </w:pPr>
      <w:r>
        <w:rPr>
          <w:rFonts w:hint="eastAsia" w:ascii="仿宋" w:hAnsi="仿宋" w:eastAsia="仿宋" w:cs="仿宋"/>
          <w:b/>
          <w:bCs/>
          <w:sz w:val="32"/>
          <w:szCs w:val="32"/>
          <w:lang w:bidi="ar"/>
        </w:rPr>
        <w:t>甲方：</w:t>
      </w:r>
    </w:p>
    <w:p w14:paraId="095990D1">
      <w:pPr>
        <w:spacing w:line="360" w:lineRule="auto"/>
        <w:ind w:firstLine="1928" w:firstLineChars="600"/>
        <w:rPr>
          <w:rFonts w:ascii="仿宋" w:hAnsi="仿宋" w:eastAsia="仿宋" w:cs="仿宋"/>
          <w:b/>
          <w:bCs/>
          <w:sz w:val="32"/>
          <w:szCs w:val="32"/>
        </w:rPr>
      </w:pPr>
      <w:r>
        <w:rPr>
          <w:rFonts w:hint="eastAsia" w:ascii="仿宋" w:hAnsi="仿宋" w:eastAsia="仿宋" w:cs="仿宋"/>
          <w:b/>
          <w:bCs/>
          <w:sz w:val="32"/>
          <w:szCs w:val="32"/>
          <w:lang w:bidi="ar"/>
        </w:rPr>
        <w:t>乙方：</w:t>
      </w:r>
    </w:p>
    <w:p w14:paraId="06F62961">
      <w:pPr>
        <w:spacing w:line="360" w:lineRule="auto"/>
        <w:ind w:firstLine="1928" w:firstLineChars="600"/>
        <w:jc w:val="center"/>
        <w:rPr>
          <w:rFonts w:ascii="仿宋" w:hAnsi="仿宋" w:eastAsia="仿宋" w:cs="仿宋"/>
          <w:b/>
          <w:bCs/>
          <w:sz w:val="32"/>
          <w:szCs w:val="32"/>
        </w:rPr>
      </w:pPr>
    </w:p>
    <w:p w14:paraId="14B7B164">
      <w:pPr>
        <w:spacing w:line="360" w:lineRule="auto"/>
        <w:ind w:firstLine="1928" w:firstLineChars="600"/>
        <w:jc w:val="center"/>
        <w:rPr>
          <w:rFonts w:ascii="仿宋" w:hAnsi="仿宋" w:eastAsia="仿宋" w:cs="仿宋"/>
          <w:b/>
          <w:bCs/>
          <w:sz w:val="32"/>
          <w:szCs w:val="32"/>
        </w:rPr>
      </w:pPr>
    </w:p>
    <w:p w14:paraId="59150EB1">
      <w:pPr>
        <w:spacing w:line="360" w:lineRule="auto"/>
        <w:rPr>
          <w:rFonts w:ascii="仿宋" w:hAnsi="仿宋" w:eastAsia="仿宋" w:cs="仿宋"/>
          <w:b/>
          <w:bCs/>
          <w:sz w:val="32"/>
          <w:szCs w:val="32"/>
          <w:lang w:bidi="ar"/>
        </w:rPr>
        <w:sectPr>
          <w:footerReference r:id="rId3" w:type="default"/>
          <w:pgSz w:w="11906" w:h="16838"/>
          <w:pgMar w:top="1418" w:right="1276" w:bottom="1418" w:left="1559" w:header="992" w:footer="992" w:gutter="0"/>
          <w:cols w:space="425" w:num="1"/>
          <w:docGrid w:type="lines" w:linePitch="312" w:charSpace="0"/>
        </w:sectPr>
      </w:pPr>
    </w:p>
    <w:p w14:paraId="676B43BE">
      <w:pPr>
        <w:pStyle w:val="9"/>
        <w:spacing w:beforeAutospacing="0" w:after="120" w:afterAutospacing="0" w:line="560" w:lineRule="exact"/>
        <w:jc w:val="both"/>
        <w:rPr>
          <w:rFonts w:ascii="仿宋_GB2312" w:hAnsi="仿宋_GB2312" w:eastAsia="仿宋_GB2312" w:cs="仿宋_GB2312"/>
        </w:rPr>
      </w:pPr>
      <w:r>
        <w:rPr>
          <w:rFonts w:hint="eastAsia" w:ascii="仿宋_GB2312" w:hAnsi="仿宋_GB2312" w:eastAsia="仿宋_GB2312" w:cs="仿宋_GB2312"/>
          <w:kern w:val="2"/>
          <w:lang w:bidi="ar"/>
        </w:rPr>
        <w:t>甲方：            地址：</w:t>
      </w:r>
    </w:p>
    <w:p w14:paraId="4EB8BB89">
      <w:pPr>
        <w:pStyle w:val="9"/>
        <w:spacing w:beforeAutospacing="0" w:after="120" w:afterAutospacing="0" w:line="560" w:lineRule="exact"/>
        <w:ind w:left="4800" w:hanging="4800" w:hangingChars="2000"/>
        <w:jc w:val="both"/>
        <w:rPr>
          <w:rFonts w:ascii="仿宋_GB2312" w:hAnsi="仿宋_GB2312" w:eastAsia="仿宋_GB2312" w:cs="仿宋_GB2312"/>
        </w:rPr>
      </w:pPr>
      <w:r>
        <w:rPr>
          <w:rFonts w:hint="eastAsia" w:ascii="仿宋_GB2312" w:hAnsi="仿宋_GB2312" w:eastAsia="仿宋_GB2312" w:cs="仿宋_GB2312"/>
          <w:kern w:val="2"/>
          <w:lang w:bidi="ar"/>
        </w:rPr>
        <w:t>乙方：            地址：</w:t>
      </w:r>
    </w:p>
    <w:p w14:paraId="355B157E">
      <w:pPr>
        <w:pStyle w:val="9"/>
        <w:spacing w:beforeAutospacing="0" w:after="120" w:afterAutospacing="0" w:line="440" w:lineRule="exact"/>
        <w:jc w:val="both"/>
        <w:rPr>
          <w:rFonts w:ascii="黑体" w:hAnsi="宋体" w:eastAsia="黑体" w:cs="黑体"/>
          <w:b/>
          <w:bCs/>
        </w:rPr>
      </w:pPr>
      <w:r>
        <w:rPr>
          <w:rFonts w:hint="eastAsia" w:ascii="黑体" w:hAnsi="宋体" w:eastAsia="黑体" w:cs="黑体"/>
          <w:b/>
          <w:bCs/>
          <w:kern w:val="2"/>
          <w:lang w:bidi="ar"/>
        </w:rPr>
        <w:t>一、合同内容（标的、数量、质量等）</w:t>
      </w:r>
    </w:p>
    <w:tbl>
      <w:tblPr>
        <w:tblStyle w:val="12"/>
        <w:tblW w:w="71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950"/>
        <w:gridCol w:w="788"/>
        <w:gridCol w:w="946"/>
        <w:gridCol w:w="797"/>
        <w:gridCol w:w="822"/>
        <w:gridCol w:w="1195"/>
      </w:tblGrid>
      <w:tr w14:paraId="7FC88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0" w:hRule="atLeast"/>
          <w:jc w:val="center"/>
        </w:trPr>
        <w:tc>
          <w:tcPr>
            <w:tcW w:w="790" w:type="dxa"/>
            <w:tcBorders>
              <w:top w:val="single" w:color="auto" w:sz="4" w:space="0"/>
              <w:left w:val="single" w:color="auto" w:sz="4" w:space="0"/>
              <w:bottom w:val="single" w:color="auto" w:sz="4" w:space="0"/>
              <w:right w:val="single" w:color="auto" w:sz="4" w:space="0"/>
            </w:tcBorders>
            <w:shd w:val="clear" w:color="auto" w:fill="auto"/>
            <w:vAlign w:val="center"/>
          </w:tcPr>
          <w:p w14:paraId="0E260F71">
            <w:pPr>
              <w:rPr>
                <w:rFonts w:ascii="仿宋_GB2312" w:hAnsi="仿宋_GB2312" w:eastAsia="仿宋_GB2312" w:cs="仿宋_GB2312"/>
                <w:sz w:val="24"/>
                <w:szCs w:val="24"/>
              </w:rPr>
            </w:pPr>
            <w:r>
              <w:rPr>
                <w:rFonts w:hint="eastAsia" w:ascii="仿宋_GB2312" w:hAnsi="仿宋_GB2312" w:eastAsia="仿宋_GB2312" w:cs="仿宋_GB2312"/>
                <w:sz w:val="24"/>
                <w:szCs w:val="24"/>
                <w:lang w:bidi="ar"/>
              </w:rPr>
              <w:t>序号</w:t>
            </w:r>
          </w:p>
        </w:tc>
        <w:tc>
          <w:tcPr>
            <w:tcW w:w="2507" w:type="dxa"/>
            <w:tcBorders>
              <w:top w:val="single" w:color="auto" w:sz="4" w:space="0"/>
              <w:left w:val="single" w:color="auto" w:sz="4" w:space="0"/>
              <w:bottom w:val="single" w:color="auto" w:sz="4" w:space="0"/>
              <w:right w:val="single" w:color="auto" w:sz="4" w:space="0"/>
            </w:tcBorders>
            <w:shd w:val="clear" w:color="auto" w:fill="auto"/>
            <w:vAlign w:val="center"/>
          </w:tcPr>
          <w:p w14:paraId="07C5FA33">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bidi="ar"/>
              </w:rPr>
              <w:t>产品标的名称</w:t>
            </w: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010345B0">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bidi="ar"/>
              </w:rPr>
              <w:t>品牌</w:t>
            </w:r>
          </w:p>
        </w:tc>
        <w:tc>
          <w:tcPr>
            <w:tcW w:w="1177" w:type="dxa"/>
            <w:tcBorders>
              <w:top w:val="single" w:color="auto" w:sz="4" w:space="0"/>
              <w:left w:val="single" w:color="auto" w:sz="4" w:space="0"/>
              <w:bottom w:val="single" w:color="auto" w:sz="4" w:space="0"/>
              <w:right w:val="single" w:color="auto" w:sz="4" w:space="0"/>
            </w:tcBorders>
            <w:shd w:val="clear" w:color="auto" w:fill="auto"/>
            <w:vAlign w:val="center"/>
          </w:tcPr>
          <w:p w14:paraId="1E8CE277">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bidi="ar"/>
              </w:rPr>
              <w:t>规格型号</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14:paraId="56107188">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bidi="ar"/>
              </w:rPr>
              <w:t>单位</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2F7A1275">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bidi="ar"/>
              </w:rPr>
              <w:t>数量</w:t>
            </w:r>
          </w:p>
        </w:tc>
        <w:tc>
          <w:tcPr>
            <w:tcW w:w="1507" w:type="dxa"/>
            <w:tcBorders>
              <w:top w:val="single" w:color="auto" w:sz="4" w:space="0"/>
              <w:left w:val="single" w:color="auto" w:sz="4" w:space="0"/>
              <w:bottom w:val="single" w:color="auto" w:sz="4" w:space="0"/>
              <w:right w:val="single" w:color="auto" w:sz="4" w:space="0"/>
            </w:tcBorders>
            <w:shd w:val="clear" w:color="auto" w:fill="auto"/>
            <w:vAlign w:val="center"/>
          </w:tcPr>
          <w:p w14:paraId="0FF71906">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bidi="ar"/>
              </w:rPr>
              <w:t>质量</w:t>
            </w:r>
          </w:p>
        </w:tc>
      </w:tr>
      <w:tr w14:paraId="3BB5E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17973D">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bidi="ar"/>
              </w:rPr>
              <w:t>1</w:t>
            </w:r>
          </w:p>
        </w:tc>
        <w:tc>
          <w:tcPr>
            <w:tcW w:w="2507" w:type="dxa"/>
            <w:tcBorders>
              <w:top w:val="single" w:color="auto" w:sz="4" w:space="0"/>
              <w:left w:val="single" w:color="auto" w:sz="4" w:space="0"/>
              <w:bottom w:val="single" w:color="auto" w:sz="4" w:space="0"/>
              <w:right w:val="single" w:color="auto" w:sz="4" w:space="0"/>
            </w:tcBorders>
            <w:shd w:val="clear" w:color="auto" w:fill="auto"/>
            <w:vAlign w:val="center"/>
          </w:tcPr>
          <w:p w14:paraId="1EFE97F7">
            <w:pPr>
              <w:jc w:val="center"/>
              <w:rPr>
                <w:rFonts w:ascii="仿宋_GB2312" w:hAnsi="仿宋_GB2312" w:eastAsia="仿宋_GB2312" w:cs="仿宋_GB2312"/>
                <w:sz w:val="24"/>
                <w:szCs w:val="24"/>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03E6F39B">
            <w:pPr>
              <w:jc w:val="center"/>
              <w:rPr>
                <w:rFonts w:ascii="仿宋_GB2312" w:hAnsi="仿宋_GB2312" w:eastAsia="仿宋_GB2312" w:cs="仿宋_GB2312"/>
                <w:sz w:val="24"/>
                <w:szCs w:val="24"/>
              </w:rPr>
            </w:pPr>
          </w:p>
        </w:tc>
        <w:tc>
          <w:tcPr>
            <w:tcW w:w="1177" w:type="dxa"/>
            <w:tcBorders>
              <w:top w:val="single" w:color="auto" w:sz="4" w:space="0"/>
              <w:left w:val="single" w:color="auto" w:sz="4" w:space="0"/>
              <w:bottom w:val="single" w:color="auto" w:sz="4" w:space="0"/>
              <w:right w:val="single" w:color="auto" w:sz="4" w:space="0"/>
            </w:tcBorders>
            <w:shd w:val="clear" w:color="auto" w:fill="auto"/>
            <w:vAlign w:val="center"/>
          </w:tcPr>
          <w:p w14:paraId="40C21A40">
            <w:pPr>
              <w:jc w:val="center"/>
              <w:rPr>
                <w:rFonts w:ascii="仿宋_GB2312" w:hAnsi="仿宋_GB2312" w:eastAsia="仿宋_GB2312" w:cs="仿宋_GB2312"/>
                <w:sz w:val="24"/>
                <w:szCs w:val="24"/>
              </w:rPr>
            </w:pP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14:paraId="51C221A4">
            <w:pPr>
              <w:jc w:val="center"/>
              <w:rPr>
                <w:rFonts w:ascii="仿宋_GB2312" w:hAnsi="仿宋_GB2312" w:eastAsia="仿宋_GB2312" w:cs="仿宋_GB2312"/>
                <w:sz w:val="24"/>
                <w:szCs w:val="24"/>
              </w:rPr>
            </w:pP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0360C388">
            <w:pPr>
              <w:jc w:val="center"/>
              <w:rPr>
                <w:rFonts w:ascii="仿宋_GB2312" w:hAnsi="仿宋_GB2312" w:eastAsia="仿宋_GB2312" w:cs="仿宋_GB2312"/>
                <w:sz w:val="24"/>
                <w:szCs w:val="24"/>
              </w:rPr>
            </w:pPr>
          </w:p>
        </w:tc>
        <w:tc>
          <w:tcPr>
            <w:tcW w:w="1507" w:type="dxa"/>
            <w:tcBorders>
              <w:top w:val="single" w:color="auto" w:sz="4" w:space="0"/>
              <w:left w:val="single" w:color="auto" w:sz="4" w:space="0"/>
              <w:bottom w:val="single" w:color="auto" w:sz="4" w:space="0"/>
              <w:right w:val="single" w:color="auto" w:sz="4" w:space="0"/>
            </w:tcBorders>
            <w:shd w:val="clear" w:color="auto" w:fill="auto"/>
            <w:vAlign w:val="center"/>
          </w:tcPr>
          <w:p w14:paraId="7126DC68">
            <w:pPr>
              <w:widowControl/>
              <w:jc w:val="center"/>
              <w:textAlignment w:val="center"/>
              <w:rPr>
                <w:rFonts w:ascii="仿宋_GB2312" w:hAnsi="仿宋_GB2312" w:eastAsia="仿宋_GB2312" w:cs="仿宋_GB2312"/>
                <w:sz w:val="24"/>
                <w:szCs w:val="24"/>
              </w:rPr>
            </w:pPr>
          </w:p>
        </w:tc>
      </w:tr>
      <w:tr w14:paraId="0BD81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B8DEB20">
            <w:pPr>
              <w:rPr>
                <w:rFonts w:ascii="Times New Roman" w:hAnsi="Times New Roman" w:cs="Times New Roman"/>
                <w:sz w:val="20"/>
                <w:szCs w:val="20"/>
              </w:rPr>
            </w:pPr>
          </w:p>
        </w:tc>
        <w:tc>
          <w:tcPr>
            <w:tcW w:w="2507" w:type="dxa"/>
            <w:tcBorders>
              <w:top w:val="single" w:color="auto" w:sz="4" w:space="0"/>
              <w:left w:val="single" w:color="auto" w:sz="4" w:space="0"/>
              <w:bottom w:val="single" w:color="auto" w:sz="4" w:space="0"/>
              <w:right w:val="single" w:color="auto" w:sz="4" w:space="0"/>
            </w:tcBorders>
            <w:shd w:val="clear" w:color="auto" w:fill="auto"/>
            <w:vAlign w:val="center"/>
          </w:tcPr>
          <w:p w14:paraId="1EA7ECA8">
            <w:pPr>
              <w:jc w:val="center"/>
              <w:rPr>
                <w:rFonts w:ascii="仿宋_GB2312" w:hAnsi="仿宋_GB2312" w:eastAsia="仿宋_GB2312" w:cs="仿宋_GB2312"/>
                <w:sz w:val="24"/>
                <w:szCs w:val="24"/>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1A35024E">
            <w:pPr>
              <w:jc w:val="center"/>
              <w:rPr>
                <w:rFonts w:ascii="仿宋_GB2312" w:hAnsi="仿宋_GB2312" w:eastAsia="仿宋_GB2312" w:cs="仿宋_GB2312"/>
                <w:sz w:val="24"/>
                <w:szCs w:val="24"/>
              </w:rPr>
            </w:pPr>
          </w:p>
        </w:tc>
        <w:tc>
          <w:tcPr>
            <w:tcW w:w="1177" w:type="dxa"/>
            <w:tcBorders>
              <w:top w:val="single" w:color="auto" w:sz="4" w:space="0"/>
              <w:left w:val="single" w:color="auto" w:sz="4" w:space="0"/>
              <w:bottom w:val="single" w:color="auto" w:sz="4" w:space="0"/>
              <w:right w:val="single" w:color="auto" w:sz="4" w:space="0"/>
            </w:tcBorders>
            <w:shd w:val="clear" w:color="auto" w:fill="auto"/>
            <w:vAlign w:val="center"/>
          </w:tcPr>
          <w:p w14:paraId="72C8AEBE">
            <w:pPr>
              <w:jc w:val="center"/>
              <w:rPr>
                <w:rFonts w:ascii="仿宋_GB2312" w:hAnsi="仿宋_GB2312" w:eastAsia="仿宋_GB2312" w:cs="仿宋_GB2312"/>
                <w:sz w:val="24"/>
                <w:szCs w:val="24"/>
              </w:rPr>
            </w:pP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14:paraId="3C9A5095">
            <w:pPr>
              <w:jc w:val="center"/>
              <w:rPr>
                <w:rFonts w:ascii="仿宋_GB2312" w:hAnsi="仿宋_GB2312" w:eastAsia="仿宋_GB2312" w:cs="仿宋_GB2312"/>
                <w:sz w:val="24"/>
                <w:szCs w:val="24"/>
              </w:rPr>
            </w:pP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0352A696">
            <w:pPr>
              <w:jc w:val="center"/>
              <w:rPr>
                <w:rFonts w:ascii="仿宋_GB2312" w:hAnsi="仿宋_GB2312" w:eastAsia="仿宋_GB2312" w:cs="仿宋_GB2312"/>
                <w:sz w:val="24"/>
                <w:szCs w:val="24"/>
              </w:rPr>
            </w:pPr>
          </w:p>
        </w:tc>
        <w:tc>
          <w:tcPr>
            <w:tcW w:w="1507" w:type="dxa"/>
            <w:tcBorders>
              <w:top w:val="single" w:color="auto" w:sz="4" w:space="0"/>
              <w:left w:val="single" w:color="auto" w:sz="4" w:space="0"/>
              <w:bottom w:val="single" w:color="auto" w:sz="4" w:space="0"/>
              <w:right w:val="single" w:color="auto" w:sz="4" w:space="0"/>
            </w:tcBorders>
            <w:shd w:val="clear" w:color="auto" w:fill="auto"/>
            <w:vAlign w:val="center"/>
          </w:tcPr>
          <w:p w14:paraId="081F389B">
            <w:pPr>
              <w:widowControl/>
              <w:jc w:val="center"/>
              <w:textAlignment w:val="center"/>
              <w:rPr>
                <w:rFonts w:ascii="仿宋_GB2312" w:hAnsi="仿宋_GB2312" w:eastAsia="仿宋_GB2312" w:cs="仿宋_GB2312"/>
                <w:sz w:val="24"/>
                <w:szCs w:val="24"/>
              </w:rPr>
            </w:pPr>
          </w:p>
        </w:tc>
      </w:tr>
      <w:tr w14:paraId="6C4AC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125128">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bidi="ar"/>
              </w:rPr>
              <w:t>2</w:t>
            </w:r>
          </w:p>
        </w:tc>
        <w:tc>
          <w:tcPr>
            <w:tcW w:w="2507" w:type="dxa"/>
            <w:tcBorders>
              <w:top w:val="single" w:color="auto" w:sz="4" w:space="0"/>
              <w:left w:val="single" w:color="auto" w:sz="4" w:space="0"/>
              <w:bottom w:val="single" w:color="auto" w:sz="4" w:space="0"/>
              <w:right w:val="single" w:color="auto" w:sz="4" w:space="0"/>
            </w:tcBorders>
            <w:shd w:val="clear" w:color="auto" w:fill="auto"/>
            <w:vAlign w:val="center"/>
          </w:tcPr>
          <w:p w14:paraId="36013F99">
            <w:pPr>
              <w:jc w:val="center"/>
              <w:rPr>
                <w:rFonts w:ascii="仿宋_GB2312" w:hAnsi="仿宋_GB2312" w:eastAsia="仿宋_GB2312" w:cs="仿宋_GB2312"/>
                <w:sz w:val="24"/>
                <w:szCs w:val="24"/>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727E6470">
            <w:pPr>
              <w:jc w:val="center"/>
              <w:rPr>
                <w:rFonts w:ascii="仿宋_GB2312" w:hAnsi="仿宋_GB2312" w:eastAsia="仿宋_GB2312" w:cs="仿宋_GB2312"/>
                <w:sz w:val="24"/>
                <w:szCs w:val="24"/>
              </w:rPr>
            </w:pPr>
          </w:p>
        </w:tc>
        <w:tc>
          <w:tcPr>
            <w:tcW w:w="1177" w:type="dxa"/>
            <w:tcBorders>
              <w:top w:val="single" w:color="auto" w:sz="4" w:space="0"/>
              <w:left w:val="single" w:color="auto" w:sz="4" w:space="0"/>
              <w:bottom w:val="single" w:color="auto" w:sz="4" w:space="0"/>
              <w:right w:val="single" w:color="auto" w:sz="4" w:space="0"/>
            </w:tcBorders>
            <w:shd w:val="clear" w:color="auto" w:fill="auto"/>
            <w:vAlign w:val="center"/>
          </w:tcPr>
          <w:p w14:paraId="56E1E48D">
            <w:pPr>
              <w:jc w:val="center"/>
              <w:rPr>
                <w:rFonts w:ascii="仿宋_GB2312" w:hAnsi="仿宋_GB2312" w:eastAsia="仿宋_GB2312" w:cs="仿宋_GB2312"/>
                <w:sz w:val="24"/>
                <w:szCs w:val="24"/>
              </w:rPr>
            </w:pP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14:paraId="55A42C72">
            <w:pPr>
              <w:jc w:val="center"/>
              <w:rPr>
                <w:rFonts w:ascii="仿宋_GB2312" w:hAnsi="仿宋_GB2312" w:eastAsia="仿宋_GB2312" w:cs="仿宋_GB2312"/>
                <w:sz w:val="24"/>
                <w:szCs w:val="24"/>
              </w:rPr>
            </w:pP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4DA2BAF6">
            <w:pPr>
              <w:jc w:val="center"/>
              <w:rPr>
                <w:rFonts w:ascii="仿宋_GB2312" w:hAnsi="仿宋_GB2312" w:eastAsia="仿宋_GB2312" w:cs="仿宋_GB2312"/>
                <w:sz w:val="24"/>
                <w:szCs w:val="24"/>
              </w:rPr>
            </w:pPr>
          </w:p>
        </w:tc>
        <w:tc>
          <w:tcPr>
            <w:tcW w:w="1507" w:type="dxa"/>
            <w:tcBorders>
              <w:top w:val="single" w:color="auto" w:sz="4" w:space="0"/>
              <w:left w:val="single" w:color="auto" w:sz="4" w:space="0"/>
              <w:bottom w:val="single" w:color="auto" w:sz="4" w:space="0"/>
              <w:right w:val="single" w:color="auto" w:sz="4" w:space="0"/>
            </w:tcBorders>
            <w:shd w:val="clear" w:color="auto" w:fill="auto"/>
            <w:vAlign w:val="center"/>
          </w:tcPr>
          <w:p w14:paraId="0BA2F2E4">
            <w:pPr>
              <w:widowControl/>
              <w:jc w:val="center"/>
              <w:textAlignment w:val="center"/>
              <w:rPr>
                <w:rFonts w:ascii="仿宋_GB2312" w:hAnsi="仿宋_GB2312" w:eastAsia="仿宋_GB2312" w:cs="仿宋_GB2312"/>
                <w:sz w:val="24"/>
                <w:szCs w:val="24"/>
              </w:rPr>
            </w:pPr>
          </w:p>
        </w:tc>
      </w:tr>
      <w:tr w14:paraId="0F635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D62CA9">
            <w:pPr>
              <w:rPr>
                <w:rFonts w:ascii="Times New Roman" w:hAnsi="Times New Roman" w:cs="Times New Roman"/>
                <w:sz w:val="20"/>
                <w:szCs w:val="20"/>
              </w:rPr>
            </w:pPr>
          </w:p>
        </w:tc>
        <w:tc>
          <w:tcPr>
            <w:tcW w:w="2507" w:type="dxa"/>
            <w:tcBorders>
              <w:top w:val="single" w:color="auto" w:sz="4" w:space="0"/>
              <w:left w:val="single" w:color="auto" w:sz="4" w:space="0"/>
              <w:bottom w:val="single" w:color="auto" w:sz="4" w:space="0"/>
              <w:right w:val="single" w:color="auto" w:sz="4" w:space="0"/>
            </w:tcBorders>
            <w:shd w:val="clear" w:color="auto" w:fill="auto"/>
            <w:vAlign w:val="center"/>
          </w:tcPr>
          <w:p w14:paraId="44A1D6CD">
            <w:pPr>
              <w:jc w:val="center"/>
              <w:rPr>
                <w:rFonts w:ascii="仿宋_GB2312" w:hAnsi="仿宋_GB2312" w:eastAsia="仿宋_GB2312" w:cs="仿宋_GB2312"/>
                <w:sz w:val="24"/>
                <w:szCs w:val="24"/>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2D9DBC52">
            <w:pPr>
              <w:jc w:val="center"/>
              <w:rPr>
                <w:rFonts w:ascii="仿宋_GB2312" w:hAnsi="仿宋_GB2312" w:eastAsia="仿宋_GB2312" w:cs="仿宋_GB2312"/>
                <w:sz w:val="24"/>
                <w:szCs w:val="24"/>
              </w:rPr>
            </w:pPr>
          </w:p>
        </w:tc>
        <w:tc>
          <w:tcPr>
            <w:tcW w:w="1177" w:type="dxa"/>
            <w:tcBorders>
              <w:top w:val="single" w:color="auto" w:sz="4" w:space="0"/>
              <w:left w:val="single" w:color="auto" w:sz="4" w:space="0"/>
              <w:bottom w:val="single" w:color="auto" w:sz="4" w:space="0"/>
              <w:right w:val="single" w:color="auto" w:sz="4" w:space="0"/>
            </w:tcBorders>
            <w:shd w:val="clear" w:color="auto" w:fill="auto"/>
            <w:vAlign w:val="center"/>
          </w:tcPr>
          <w:p w14:paraId="5AEFB6D8">
            <w:pPr>
              <w:jc w:val="center"/>
              <w:rPr>
                <w:rFonts w:ascii="仿宋_GB2312" w:hAnsi="仿宋_GB2312" w:eastAsia="仿宋_GB2312" w:cs="仿宋_GB2312"/>
                <w:sz w:val="24"/>
                <w:szCs w:val="24"/>
              </w:rPr>
            </w:pP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14:paraId="5BBD2EB6">
            <w:pPr>
              <w:jc w:val="center"/>
              <w:rPr>
                <w:rFonts w:ascii="仿宋_GB2312" w:hAnsi="仿宋_GB2312" w:eastAsia="仿宋_GB2312" w:cs="仿宋_GB2312"/>
                <w:sz w:val="24"/>
                <w:szCs w:val="24"/>
              </w:rPr>
            </w:pP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4617204D">
            <w:pPr>
              <w:jc w:val="center"/>
              <w:rPr>
                <w:rFonts w:ascii="仿宋_GB2312" w:hAnsi="仿宋_GB2312" w:eastAsia="仿宋_GB2312" w:cs="仿宋_GB2312"/>
                <w:sz w:val="24"/>
                <w:szCs w:val="24"/>
              </w:rPr>
            </w:pPr>
          </w:p>
        </w:tc>
        <w:tc>
          <w:tcPr>
            <w:tcW w:w="1507" w:type="dxa"/>
            <w:tcBorders>
              <w:top w:val="single" w:color="auto" w:sz="4" w:space="0"/>
              <w:left w:val="single" w:color="auto" w:sz="4" w:space="0"/>
              <w:bottom w:val="single" w:color="auto" w:sz="4" w:space="0"/>
              <w:right w:val="single" w:color="auto" w:sz="4" w:space="0"/>
            </w:tcBorders>
            <w:shd w:val="clear" w:color="auto" w:fill="auto"/>
            <w:vAlign w:val="center"/>
          </w:tcPr>
          <w:p w14:paraId="3170F388">
            <w:pPr>
              <w:widowControl/>
              <w:jc w:val="center"/>
              <w:textAlignment w:val="center"/>
              <w:rPr>
                <w:rFonts w:ascii="仿宋_GB2312" w:hAnsi="仿宋_GB2312" w:eastAsia="仿宋_GB2312" w:cs="仿宋_GB2312"/>
                <w:sz w:val="24"/>
                <w:szCs w:val="24"/>
              </w:rPr>
            </w:pPr>
          </w:p>
        </w:tc>
      </w:tr>
      <w:tr w14:paraId="6A293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23B883">
            <w:pPr>
              <w:rPr>
                <w:rFonts w:ascii="Times New Roman" w:hAnsi="Times New Roman" w:cs="Times New Roman"/>
                <w:sz w:val="20"/>
                <w:szCs w:val="20"/>
              </w:rPr>
            </w:pPr>
          </w:p>
        </w:tc>
        <w:tc>
          <w:tcPr>
            <w:tcW w:w="2507" w:type="dxa"/>
            <w:tcBorders>
              <w:top w:val="single" w:color="auto" w:sz="4" w:space="0"/>
              <w:left w:val="single" w:color="auto" w:sz="4" w:space="0"/>
              <w:bottom w:val="single" w:color="auto" w:sz="4" w:space="0"/>
              <w:right w:val="single" w:color="auto" w:sz="4" w:space="0"/>
            </w:tcBorders>
            <w:shd w:val="clear" w:color="auto" w:fill="auto"/>
            <w:vAlign w:val="center"/>
          </w:tcPr>
          <w:p w14:paraId="2B0D97EA">
            <w:pPr>
              <w:jc w:val="center"/>
              <w:rPr>
                <w:rFonts w:ascii="仿宋_GB2312" w:hAnsi="仿宋_GB2312" w:eastAsia="仿宋_GB2312" w:cs="仿宋_GB2312"/>
                <w:sz w:val="24"/>
                <w:szCs w:val="24"/>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7F9ABD25">
            <w:pPr>
              <w:jc w:val="center"/>
              <w:rPr>
                <w:rFonts w:ascii="仿宋_GB2312" w:hAnsi="仿宋_GB2312" w:eastAsia="仿宋_GB2312" w:cs="仿宋_GB2312"/>
                <w:sz w:val="24"/>
                <w:szCs w:val="24"/>
              </w:rPr>
            </w:pPr>
          </w:p>
        </w:tc>
        <w:tc>
          <w:tcPr>
            <w:tcW w:w="1177" w:type="dxa"/>
            <w:tcBorders>
              <w:top w:val="single" w:color="auto" w:sz="4" w:space="0"/>
              <w:left w:val="single" w:color="auto" w:sz="4" w:space="0"/>
              <w:bottom w:val="single" w:color="auto" w:sz="4" w:space="0"/>
              <w:right w:val="single" w:color="auto" w:sz="4" w:space="0"/>
            </w:tcBorders>
            <w:shd w:val="clear" w:color="auto" w:fill="auto"/>
            <w:vAlign w:val="center"/>
          </w:tcPr>
          <w:p w14:paraId="2EF51D52">
            <w:pPr>
              <w:jc w:val="center"/>
              <w:rPr>
                <w:rFonts w:ascii="仿宋_GB2312" w:hAnsi="仿宋_GB2312" w:eastAsia="仿宋_GB2312" w:cs="仿宋_GB2312"/>
                <w:sz w:val="24"/>
                <w:szCs w:val="24"/>
              </w:rPr>
            </w:pP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14:paraId="51441C86">
            <w:pPr>
              <w:jc w:val="center"/>
              <w:rPr>
                <w:rFonts w:ascii="仿宋_GB2312" w:hAnsi="仿宋_GB2312" w:eastAsia="仿宋_GB2312" w:cs="仿宋_GB2312"/>
                <w:sz w:val="24"/>
                <w:szCs w:val="24"/>
              </w:rPr>
            </w:pP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08CC124B">
            <w:pPr>
              <w:jc w:val="center"/>
              <w:rPr>
                <w:rFonts w:ascii="仿宋_GB2312" w:hAnsi="仿宋_GB2312" w:eastAsia="仿宋_GB2312" w:cs="仿宋_GB2312"/>
                <w:sz w:val="24"/>
                <w:szCs w:val="24"/>
              </w:rPr>
            </w:pPr>
          </w:p>
        </w:tc>
        <w:tc>
          <w:tcPr>
            <w:tcW w:w="1507" w:type="dxa"/>
            <w:tcBorders>
              <w:top w:val="single" w:color="auto" w:sz="4" w:space="0"/>
              <w:left w:val="single" w:color="auto" w:sz="4" w:space="0"/>
              <w:bottom w:val="single" w:color="auto" w:sz="4" w:space="0"/>
              <w:right w:val="single" w:color="auto" w:sz="4" w:space="0"/>
            </w:tcBorders>
            <w:shd w:val="clear" w:color="auto" w:fill="auto"/>
            <w:vAlign w:val="center"/>
          </w:tcPr>
          <w:p w14:paraId="72415F80">
            <w:pPr>
              <w:widowControl/>
              <w:jc w:val="center"/>
              <w:textAlignment w:val="center"/>
              <w:rPr>
                <w:rFonts w:ascii="仿宋_GB2312" w:hAnsi="仿宋_GB2312" w:eastAsia="仿宋_GB2312" w:cs="仿宋_GB2312"/>
                <w:sz w:val="24"/>
                <w:szCs w:val="24"/>
              </w:rPr>
            </w:pPr>
          </w:p>
        </w:tc>
      </w:tr>
      <w:tr w14:paraId="2E98D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DC2BA42">
            <w:pPr>
              <w:rPr>
                <w:rFonts w:ascii="Times New Roman" w:hAnsi="Times New Roman" w:cs="Times New Roman"/>
                <w:sz w:val="20"/>
                <w:szCs w:val="20"/>
              </w:rPr>
            </w:pPr>
          </w:p>
        </w:tc>
        <w:tc>
          <w:tcPr>
            <w:tcW w:w="2507" w:type="dxa"/>
            <w:tcBorders>
              <w:top w:val="single" w:color="auto" w:sz="4" w:space="0"/>
              <w:left w:val="single" w:color="auto" w:sz="4" w:space="0"/>
              <w:bottom w:val="single" w:color="auto" w:sz="4" w:space="0"/>
              <w:right w:val="single" w:color="auto" w:sz="4" w:space="0"/>
            </w:tcBorders>
            <w:shd w:val="clear" w:color="auto" w:fill="auto"/>
            <w:vAlign w:val="center"/>
          </w:tcPr>
          <w:p w14:paraId="6FD6F127">
            <w:pPr>
              <w:jc w:val="center"/>
              <w:rPr>
                <w:rFonts w:ascii="仿宋_GB2312" w:hAnsi="仿宋_GB2312" w:eastAsia="仿宋_GB2312" w:cs="仿宋_GB2312"/>
                <w:sz w:val="24"/>
                <w:szCs w:val="24"/>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7634889F">
            <w:pPr>
              <w:jc w:val="center"/>
              <w:rPr>
                <w:rFonts w:ascii="仿宋_GB2312" w:hAnsi="仿宋_GB2312" w:eastAsia="仿宋_GB2312" w:cs="仿宋_GB2312"/>
                <w:sz w:val="24"/>
                <w:szCs w:val="24"/>
              </w:rPr>
            </w:pPr>
          </w:p>
        </w:tc>
        <w:tc>
          <w:tcPr>
            <w:tcW w:w="1177" w:type="dxa"/>
            <w:tcBorders>
              <w:top w:val="single" w:color="auto" w:sz="4" w:space="0"/>
              <w:left w:val="single" w:color="auto" w:sz="4" w:space="0"/>
              <w:bottom w:val="single" w:color="auto" w:sz="4" w:space="0"/>
              <w:right w:val="single" w:color="auto" w:sz="4" w:space="0"/>
            </w:tcBorders>
            <w:shd w:val="clear" w:color="auto" w:fill="auto"/>
            <w:vAlign w:val="center"/>
          </w:tcPr>
          <w:p w14:paraId="29157DF6">
            <w:pPr>
              <w:jc w:val="center"/>
              <w:rPr>
                <w:rFonts w:ascii="仿宋_GB2312" w:hAnsi="仿宋_GB2312" w:eastAsia="仿宋_GB2312" w:cs="仿宋_GB2312"/>
                <w:sz w:val="24"/>
                <w:szCs w:val="24"/>
              </w:rPr>
            </w:pP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14:paraId="6E22D4A1">
            <w:pPr>
              <w:jc w:val="center"/>
              <w:rPr>
                <w:rFonts w:ascii="仿宋_GB2312" w:hAnsi="仿宋_GB2312" w:eastAsia="仿宋_GB2312" w:cs="仿宋_GB2312"/>
                <w:sz w:val="24"/>
                <w:szCs w:val="24"/>
              </w:rPr>
            </w:pP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096B1D93">
            <w:pPr>
              <w:jc w:val="center"/>
              <w:rPr>
                <w:rFonts w:ascii="仿宋_GB2312" w:hAnsi="仿宋_GB2312" w:eastAsia="仿宋_GB2312" w:cs="仿宋_GB2312"/>
                <w:sz w:val="24"/>
                <w:szCs w:val="24"/>
              </w:rPr>
            </w:pPr>
          </w:p>
        </w:tc>
        <w:tc>
          <w:tcPr>
            <w:tcW w:w="1507" w:type="dxa"/>
            <w:tcBorders>
              <w:top w:val="single" w:color="auto" w:sz="4" w:space="0"/>
              <w:left w:val="single" w:color="auto" w:sz="4" w:space="0"/>
              <w:bottom w:val="single" w:color="auto" w:sz="4" w:space="0"/>
              <w:right w:val="single" w:color="auto" w:sz="4" w:space="0"/>
            </w:tcBorders>
            <w:shd w:val="clear" w:color="auto" w:fill="auto"/>
            <w:vAlign w:val="center"/>
          </w:tcPr>
          <w:p w14:paraId="2E6EBAE4">
            <w:pPr>
              <w:widowControl/>
              <w:jc w:val="center"/>
              <w:textAlignment w:val="center"/>
              <w:rPr>
                <w:rFonts w:ascii="仿宋_GB2312" w:hAnsi="仿宋_GB2312" w:eastAsia="仿宋_GB2312" w:cs="仿宋_GB2312"/>
                <w:sz w:val="24"/>
                <w:szCs w:val="24"/>
              </w:rPr>
            </w:pPr>
          </w:p>
        </w:tc>
      </w:tr>
      <w:tr w14:paraId="0CCC8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0" w:type="dxa"/>
            <w:tcBorders>
              <w:top w:val="single" w:color="auto" w:sz="4" w:space="0"/>
              <w:left w:val="single" w:color="auto" w:sz="4" w:space="0"/>
              <w:bottom w:val="single" w:color="auto" w:sz="4" w:space="0"/>
              <w:right w:val="single" w:color="auto" w:sz="4" w:space="0"/>
            </w:tcBorders>
            <w:shd w:val="clear" w:color="auto" w:fill="auto"/>
            <w:vAlign w:val="center"/>
          </w:tcPr>
          <w:p w14:paraId="45230DA6">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bidi="ar"/>
              </w:rPr>
              <w:t>3</w:t>
            </w:r>
          </w:p>
        </w:tc>
        <w:tc>
          <w:tcPr>
            <w:tcW w:w="2507" w:type="dxa"/>
            <w:tcBorders>
              <w:top w:val="single" w:color="auto" w:sz="4" w:space="0"/>
              <w:left w:val="single" w:color="auto" w:sz="4" w:space="0"/>
              <w:bottom w:val="single" w:color="auto" w:sz="4" w:space="0"/>
              <w:right w:val="single" w:color="auto" w:sz="4" w:space="0"/>
            </w:tcBorders>
            <w:shd w:val="clear" w:color="auto" w:fill="auto"/>
            <w:vAlign w:val="center"/>
          </w:tcPr>
          <w:p w14:paraId="37C9A4F1">
            <w:pPr>
              <w:jc w:val="center"/>
              <w:rPr>
                <w:rFonts w:ascii="仿宋_GB2312" w:hAnsi="仿宋_GB2312" w:eastAsia="仿宋_GB2312" w:cs="仿宋_GB2312"/>
                <w:sz w:val="24"/>
                <w:szCs w:val="24"/>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7A632603">
            <w:pPr>
              <w:jc w:val="center"/>
              <w:rPr>
                <w:rFonts w:ascii="仿宋_GB2312" w:hAnsi="仿宋_GB2312" w:eastAsia="仿宋_GB2312" w:cs="仿宋_GB2312"/>
                <w:sz w:val="24"/>
                <w:szCs w:val="24"/>
              </w:rPr>
            </w:pPr>
          </w:p>
        </w:tc>
        <w:tc>
          <w:tcPr>
            <w:tcW w:w="1177" w:type="dxa"/>
            <w:tcBorders>
              <w:top w:val="single" w:color="auto" w:sz="4" w:space="0"/>
              <w:left w:val="single" w:color="auto" w:sz="4" w:space="0"/>
              <w:bottom w:val="single" w:color="auto" w:sz="4" w:space="0"/>
              <w:right w:val="single" w:color="auto" w:sz="4" w:space="0"/>
            </w:tcBorders>
            <w:shd w:val="clear" w:color="auto" w:fill="auto"/>
            <w:vAlign w:val="center"/>
          </w:tcPr>
          <w:p w14:paraId="2E5CDE4B">
            <w:pPr>
              <w:jc w:val="center"/>
              <w:rPr>
                <w:rFonts w:ascii="仿宋_GB2312" w:hAnsi="仿宋_GB2312" w:eastAsia="仿宋_GB2312" w:cs="仿宋_GB2312"/>
                <w:sz w:val="24"/>
                <w:szCs w:val="24"/>
              </w:rPr>
            </w:pP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14:paraId="62CCA07F">
            <w:pPr>
              <w:jc w:val="center"/>
              <w:rPr>
                <w:rFonts w:ascii="仿宋_GB2312" w:hAnsi="仿宋_GB2312" w:eastAsia="仿宋_GB2312" w:cs="仿宋_GB2312"/>
                <w:sz w:val="24"/>
                <w:szCs w:val="24"/>
              </w:rPr>
            </w:pP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6FD77D97">
            <w:pPr>
              <w:jc w:val="center"/>
              <w:rPr>
                <w:rFonts w:ascii="仿宋_GB2312" w:hAnsi="仿宋_GB2312" w:eastAsia="仿宋_GB2312" w:cs="仿宋_GB2312"/>
                <w:sz w:val="24"/>
                <w:szCs w:val="24"/>
              </w:rPr>
            </w:pPr>
          </w:p>
        </w:tc>
        <w:tc>
          <w:tcPr>
            <w:tcW w:w="1507" w:type="dxa"/>
            <w:tcBorders>
              <w:top w:val="single" w:color="auto" w:sz="4" w:space="0"/>
              <w:left w:val="single" w:color="auto" w:sz="4" w:space="0"/>
              <w:bottom w:val="single" w:color="auto" w:sz="4" w:space="0"/>
              <w:right w:val="single" w:color="auto" w:sz="4" w:space="0"/>
            </w:tcBorders>
            <w:shd w:val="clear" w:color="auto" w:fill="auto"/>
            <w:vAlign w:val="center"/>
          </w:tcPr>
          <w:p w14:paraId="745CC86C">
            <w:pPr>
              <w:widowControl/>
              <w:jc w:val="center"/>
              <w:textAlignment w:val="center"/>
              <w:rPr>
                <w:rFonts w:ascii="仿宋_GB2312" w:hAnsi="仿宋_GB2312" w:eastAsia="仿宋_GB2312" w:cs="仿宋_GB2312"/>
                <w:sz w:val="24"/>
                <w:szCs w:val="24"/>
              </w:rPr>
            </w:pPr>
          </w:p>
        </w:tc>
      </w:tr>
      <w:tr w14:paraId="1F21C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0" w:type="dxa"/>
            <w:tcBorders>
              <w:top w:val="single" w:color="auto" w:sz="4" w:space="0"/>
              <w:left w:val="single" w:color="auto" w:sz="4" w:space="0"/>
              <w:bottom w:val="single" w:color="auto" w:sz="4" w:space="0"/>
              <w:right w:val="single" w:color="auto" w:sz="4" w:space="0"/>
            </w:tcBorders>
            <w:shd w:val="clear" w:color="auto" w:fill="auto"/>
            <w:vAlign w:val="center"/>
          </w:tcPr>
          <w:p w14:paraId="0AAA24DA">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bidi="ar"/>
              </w:rPr>
              <w:t>5</w:t>
            </w:r>
          </w:p>
        </w:tc>
        <w:tc>
          <w:tcPr>
            <w:tcW w:w="2507" w:type="dxa"/>
            <w:tcBorders>
              <w:top w:val="single" w:color="auto" w:sz="4" w:space="0"/>
              <w:left w:val="single" w:color="auto" w:sz="4" w:space="0"/>
              <w:bottom w:val="single" w:color="auto" w:sz="4" w:space="0"/>
              <w:right w:val="single" w:color="auto" w:sz="4" w:space="0"/>
            </w:tcBorders>
            <w:shd w:val="clear" w:color="auto" w:fill="auto"/>
            <w:vAlign w:val="center"/>
          </w:tcPr>
          <w:p w14:paraId="5D3489C8">
            <w:pPr>
              <w:jc w:val="center"/>
              <w:rPr>
                <w:rFonts w:ascii="仿宋_GB2312" w:hAnsi="仿宋_GB2312" w:eastAsia="仿宋_GB2312" w:cs="仿宋_GB2312"/>
                <w:sz w:val="24"/>
                <w:szCs w:val="24"/>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412BCE8F">
            <w:pPr>
              <w:jc w:val="center"/>
              <w:rPr>
                <w:rFonts w:ascii="仿宋_GB2312" w:hAnsi="仿宋_GB2312" w:eastAsia="仿宋_GB2312" w:cs="仿宋_GB2312"/>
                <w:sz w:val="24"/>
                <w:szCs w:val="24"/>
              </w:rPr>
            </w:pPr>
          </w:p>
        </w:tc>
        <w:tc>
          <w:tcPr>
            <w:tcW w:w="1177" w:type="dxa"/>
            <w:tcBorders>
              <w:top w:val="single" w:color="auto" w:sz="4" w:space="0"/>
              <w:left w:val="single" w:color="auto" w:sz="4" w:space="0"/>
              <w:bottom w:val="single" w:color="auto" w:sz="4" w:space="0"/>
              <w:right w:val="single" w:color="auto" w:sz="4" w:space="0"/>
            </w:tcBorders>
            <w:shd w:val="clear" w:color="auto" w:fill="auto"/>
            <w:vAlign w:val="center"/>
          </w:tcPr>
          <w:p w14:paraId="31231965">
            <w:pPr>
              <w:jc w:val="center"/>
              <w:rPr>
                <w:rFonts w:ascii="仿宋_GB2312" w:hAnsi="仿宋_GB2312" w:eastAsia="仿宋_GB2312" w:cs="仿宋_GB2312"/>
                <w:sz w:val="24"/>
                <w:szCs w:val="24"/>
              </w:rPr>
            </w:pP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14:paraId="651307F9">
            <w:pPr>
              <w:jc w:val="center"/>
              <w:rPr>
                <w:rFonts w:ascii="仿宋_GB2312" w:hAnsi="仿宋_GB2312" w:eastAsia="仿宋_GB2312" w:cs="仿宋_GB2312"/>
                <w:sz w:val="24"/>
                <w:szCs w:val="24"/>
              </w:rPr>
            </w:pP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74A7C9E7">
            <w:pPr>
              <w:jc w:val="center"/>
              <w:rPr>
                <w:rFonts w:ascii="仿宋_GB2312" w:hAnsi="仿宋_GB2312" w:eastAsia="仿宋_GB2312" w:cs="仿宋_GB2312"/>
                <w:sz w:val="24"/>
                <w:szCs w:val="24"/>
              </w:rPr>
            </w:pPr>
          </w:p>
        </w:tc>
        <w:tc>
          <w:tcPr>
            <w:tcW w:w="1507" w:type="dxa"/>
            <w:tcBorders>
              <w:top w:val="single" w:color="auto" w:sz="4" w:space="0"/>
              <w:left w:val="single" w:color="auto" w:sz="4" w:space="0"/>
              <w:bottom w:val="single" w:color="auto" w:sz="4" w:space="0"/>
              <w:right w:val="single" w:color="auto" w:sz="4" w:space="0"/>
            </w:tcBorders>
            <w:shd w:val="clear" w:color="auto" w:fill="auto"/>
            <w:vAlign w:val="center"/>
          </w:tcPr>
          <w:p w14:paraId="3F439F3A">
            <w:pPr>
              <w:widowControl/>
              <w:jc w:val="center"/>
              <w:textAlignment w:val="center"/>
              <w:rPr>
                <w:rFonts w:ascii="仿宋_GB2312" w:hAnsi="仿宋_GB2312" w:eastAsia="仿宋_GB2312" w:cs="仿宋_GB2312"/>
                <w:sz w:val="24"/>
                <w:szCs w:val="24"/>
              </w:rPr>
            </w:pPr>
          </w:p>
        </w:tc>
      </w:tr>
      <w:tr w14:paraId="78831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9EC920">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bidi="ar"/>
              </w:rPr>
              <w:t>……</w:t>
            </w:r>
          </w:p>
        </w:tc>
        <w:tc>
          <w:tcPr>
            <w:tcW w:w="2507" w:type="dxa"/>
            <w:tcBorders>
              <w:top w:val="single" w:color="auto" w:sz="4" w:space="0"/>
              <w:left w:val="single" w:color="auto" w:sz="4" w:space="0"/>
              <w:bottom w:val="single" w:color="auto" w:sz="4" w:space="0"/>
              <w:right w:val="single" w:color="auto" w:sz="4" w:space="0"/>
            </w:tcBorders>
            <w:shd w:val="clear" w:color="auto" w:fill="auto"/>
            <w:vAlign w:val="center"/>
          </w:tcPr>
          <w:p w14:paraId="08736D83">
            <w:pPr>
              <w:jc w:val="center"/>
              <w:rPr>
                <w:rFonts w:ascii="仿宋_GB2312" w:hAnsi="仿宋_GB2312" w:eastAsia="仿宋_GB2312" w:cs="仿宋_GB2312"/>
                <w:sz w:val="24"/>
                <w:szCs w:val="24"/>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33EBDBBD">
            <w:pPr>
              <w:jc w:val="center"/>
              <w:rPr>
                <w:rFonts w:ascii="仿宋_GB2312" w:hAnsi="仿宋_GB2312" w:eastAsia="仿宋_GB2312" w:cs="仿宋_GB2312"/>
                <w:sz w:val="24"/>
                <w:szCs w:val="24"/>
              </w:rPr>
            </w:pPr>
          </w:p>
        </w:tc>
        <w:tc>
          <w:tcPr>
            <w:tcW w:w="1177" w:type="dxa"/>
            <w:tcBorders>
              <w:top w:val="single" w:color="auto" w:sz="4" w:space="0"/>
              <w:left w:val="single" w:color="auto" w:sz="4" w:space="0"/>
              <w:bottom w:val="single" w:color="auto" w:sz="4" w:space="0"/>
              <w:right w:val="single" w:color="auto" w:sz="4" w:space="0"/>
            </w:tcBorders>
            <w:shd w:val="clear" w:color="auto" w:fill="auto"/>
            <w:vAlign w:val="center"/>
          </w:tcPr>
          <w:p w14:paraId="44E51B14">
            <w:pPr>
              <w:jc w:val="center"/>
              <w:rPr>
                <w:rFonts w:ascii="仿宋_GB2312" w:hAnsi="仿宋_GB2312" w:eastAsia="仿宋_GB2312" w:cs="仿宋_GB2312"/>
                <w:sz w:val="24"/>
                <w:szCs w:val="24"/>
              </w:rPr>
            </w:pP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14:paraId="7E2C83C8">
            <w:pPr>
              <w:jc w:val="center"/>
              <w:rPr>
                <w:rFonts w:ascii="仿宋_GB2312" w:hAnsi="仿宋_GB2312" w:eastAsia="仿宋_GB2312" w:cs="仿宋_GB2312"/>
                <w:sz w:val="24"/>
                <w:szCs w:val="24"/>
              </w:rPr>
            </w:pP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570CB0B9">
            <w:pPr>
              <w:jc w:val="center"/>
              <w:rPr>
                <w:rFonts w:ascii="仿宋_GB2312" w:hAnsi="仿宋_GB2312" w:eastAsia="仿宋_GB2312" w:cs="仿宋_GB2312"/>
                <w:sz w:val="24"/>
                <w:szCs w:val="24"/>
              </w:rPr>
            </w:pPr>
          </w:p>
        </w:tc>
        <w:tc>
          <w:tcPr>
            <w:tcW w:w="1507" w:type="dxa"/>
            <w:tcBorders>
              <w:top w:val="single" w:color="auto" w:sz="4" w:space="0"/>
              <w:left w:val="single" w:color="auto" w:sz="4" w:space="0"/>
              <w:bottom w:val="single" w:color="auto" w:sz="4" w:space="0"/>
              <w:right w:val="single" w:color="auto" w:sz="4" w:space="0"/>
            </w:tcBorders>
            <w:shd w:val="clear" w:color="auto" w:fill="auto"/>
            <w:vAlign w:val="center"/>
          </w:tcPr>
          <w:p w14:paraId="510C3892">
            <w:pPr>
              <w:widowControl/>
              <w:jc w:val="center"/>
              <w:textAlignment w:val="center"/>
              <w:rPr>
                <w:rFonts w:ascii="仿宋_GB2312" w:hAnsi="仿宋_GB2312" w:eastAsia="仿宋_GB2312" w:cs="仿宋_GB2312"/>
                <w:sz w:val="24"/>
                <w:szCs w:val="24"/>
              </w:rPr>
            </w:pPr>
          </w:p>
        </w:tc>
      </w:tr>
      <w:tr w14:paraId="7DA3C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45437E">
            <w:pPr>
              <w:rPr>
                <w:rFonts w:ascii="Times New Roman" w:hAnsi="Times New Roman" w:cs="Times New Roman"/>
                <w:sz w:val="20"/>
                <w:szCs w:val="20"/>
              </w:rPr>
            </w:pPr>
          </w:p>
        </w:tc>
        <w:tc>
          <w:tcPr>
            <w:tcW w:w="2507" w:type="dxa"/>
            <w:tcBorders>
              <w:top w:val="single" w:color="auto" w:sz="4" w:space="0"/>
              <w:left w:val="single" w:color="auto" w:sz="4" w:space="0"/>
              <w:bottom w:val="single" w:color="auto" w:sz="4" w:space="0"/>
              <w:right w:val="single" w:color="auto" w:sz="4" w:space="0"/>
            </w:tcBorders>
            <w:shd w:val="clear" w:color="auto" w:fill="auto"/>
            <w:vAlign w:val="center"/>
          </w:tcPr>
          <w:p w14:paraId="5D1259AC">
            <w:pPr>
              <w:jc w:val="center"/>
              <w:rPr>
                <w:rFonts w:ascii="仿宋_GB2312" w:hAnsi="仿宋_GB2312" w:eastAsia="仿宋_GB2312" w:cs="仿宋_GB2312"/>
                <w:sz w:val="24"/>
                <w:szCs w:val="24"/>
              </w:rPr>
            </w:pPr>
          </w:p>
        </w:tc>
        <w:tc>
          <w:tcPr>
            <w:tcW w:w="967" w:type="dxa"/>
            <w:tcBorders>
              <w:top w:val="single" w:color="auto" w:sz="4" w:space="0"/>
              <w:left w:val="single" w:color="auto" w:sz="4" w:space="0"/>
              <w:bottom w:val="single" w:color="auto" w:sz="4" w:space="0"/>
              <w:right w:val="single" w:color="auto" w:sz="4" w:space="0"/>
            </w:tcBorders>
            <w:shd w:val="clear" w:color="auto" w:fill="auto"/>
            <w:vAlign w:val="center"/>
          </w:tcPr>
          <w:p w14:paraId="05A7D314">
            <w:pPr>
              <w:jc w:val="center"/>
              <w:rPr>
                <w:rFonts w:ascii="仿宋_GB2312" w:hAnsi="仿宋_GB2312" w:eastAsia="仿宋_GB2312" w:cs="仿宋_GB2312"/>
                <w:sz w:val="24"/>
                <w:szCs w:val="24"/>
              </w:rPr>
            </w:pPr>
          </w:p>
        </w:tc>
        <w:tc>
          <w:tcPr>
            <w:tcW w:w="1177" w:type="dxa"/>
            <w:tcBorders>
              <w:top w:val="single" w:color="auto" w:sz="4" w:space="0"/>
              <w:left w:val="single" w:color="auto" w:sz="4" w:space="0"/>
              <w:bottom w:val="single" w:color="auto" w:sz="4" w:space="0"/>
              <w:right w:val="single" w:color="auto" w:sz="4" w:space="0"/>
            </w:tcBorders>
            <w:shd w:val="clear" w:color="auto" w:fill="auto"/>
            <w:vAlign w:val="center"/>
          </w:tcPr>
          <w:p w14:paraId="7A25F8D2">
            <w:pPr>
              <w:jc w:val="center"/>
              <w:rPr>
                <w:rFonts w:ascii="仿宋_GB2312" w:hAnsi="仿宋_GB2312" w:eastAsia="仿宋_GB2312" w:cs="仿宋_GB2312"/>
                <w:sz w:val="24"/>
                <w:szCs w:val="24"/>
              </w:rPr>
            </w:pP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14:paraId="7A5D70A9">
            <w:pPr>
              <w:jc w:val="center"/>
              <w:rPr>
                <w:rFonts w:ascii="仿宋_GB2312" w:hAnsi="仿宋_GB2312" w:eastAsia="仿宋_GB2312" w:cs="仿宋_GB2312"/>
                <w:sz w:val="24"/>
                <w:szCs w:val="24"/>
              </w:rPr>
            </w:pP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694F1EE2">
            <w:pPr>
              <w:jc w:val="center"/>
              <w:rPr>
                <w:rFonts w:ascii="仿宋_GB2312" w:hAnsi="仿宋_GB2312" w:eastAsia="仿宋_GB2312" w:cs="仿宋_GB2312"/>
                <w:sz w:val="24"/>
                <w:szCs w:val="24"/>
              </w:rPr>
            </w:pPr>
          </w:p>
        </w:tc>
        <w:tc>
          <w:tcPr>
            <w:tcW w:w="1507" w:type="dxa"/>
            <w:tcBorders>
              <w:top w:val="single" w:color="auto" w:sz="4" w:space="0"/>
              <w:left w:val="single" w:color="auto" w:sz="4" w:space="0"/>
              <w:bottom w:val="single" w:color="auto" w:sz="4" w:space="0"/>
              <w:right w:val="single" w:color="auto" w:sz="4" w:space="0"/>
            </w:tcBorders>
            <w:shd w:val="clear" w:color="auto" w:fill="auto"/>
            <w:vAlign w:val="center"/>
          </w:tcPr>
          <w:p w14:paraId="5B093025">
            <w:pPr>
              <w:widowControl/>
              <w:jc w:val="center"/>
              <w:textAlignment w:val="center"/>
              <w:rPr>
                <w:rFonts w:ascii="仿宋_GB2312" w:hAnsi="仿宋_GB2312" w:eastAsia="仿宋_GB2312" w:cs="仿宋_GB2312"/>
                <w:sz w:val="24"/>
                <w:szCs w:val="24"/>
              </w:rPr>
            </w:pPr>
          </w:p>
        </w:tc>
      </w:tr>
    </w:tbl>
    <w:p w14:paraId="5A793C03">
      <w:pPr>
        <w:pStyle w:val="9"/>
        <w:spacing w:beforeAutospacing="0" w:after="120" w:afterAutospacing="0" w:line="520" w:lineRule="exact"/>
        <w:ind w:firstLine="482" w:firstLineChars="200"/>
        <w:jc w:val="both"/>
        <w:rPr>
          <w:rFonts w:ascii="黑体" w:hAnsi="宋体" w:eastAsia="黑体" w:cs="黑体"/>
          <w:b/>
          <w:bCs/>
        </w:rPr>
      </w:pPr>
      <w:r>
        <w:rPr>
          <w:rFonts w:hint="eastAsia" w:ascii="黑体" w:hAnsi="宋体" w:eastAsia="黑体" w:cs="黑体"/>
          <w:b/>
          <w:bCs/>
          <w:kern w:val="2"/>
          <w:lang w:bidi="ar"/>
        </w:rPr>
        <w:t>二、合同价款</w:t>
      </w:r>
    </w:p>
    <w:p w14:paraId="3E4147C2">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1、合同总价：。</w:t>
      </w:r>
    </w:p>
    <w:p w14:paraId="179376E1">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2、合同总价包括：产品费、人工费、其他（运杂费、质检费、实施安装费、培训报名费、质保费、保险费，以及合同明示或暗示的风险、责任和义务等），以及管理费、税金、利润、采购代理服务费等完成本项目包含的所有费用。</w:t>
      </w:r>
    </w:p>
    <w:p w14:paraId="1A2DF8C9">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3、合同有效期内，合同总价一次包死，不受国家政策性调价或原材料价格变化及外汇汇率变化的影响，并作为最终结算的唯一依据。</w:t>
      </w:r>
    </w:p>
    <w:p w14:paraId="63F87E3B">
      <w:pPr>
        <w:pStyle w:val="9"/>
        <w:spacing w:beforeAutospacing="0" w:after="120" w:afterAutospacing="0" w:line="520" w:lineRule="exact"/>
        <w:ind w:firstLine="482" w:firstLineChars="200"/>
        <w:jc w:val="both"/>
        <w:rPr>
          <w:rFonts w:ascii="黑体" w:hAnsi="宋体" w:eastAsia="黑体" w:cs="黑体"/>
          <w:b/>
          <w:bCs/>
        </w:rPr>
      </w:pPr>
      <w:r>
        <w:rPr>
          <w:rFonts w:hint="eastAsia" w:ascii="黑体" w:hAnsi="宋体" w:eastAsia="黑体" w:cs="黑体"/>
          <w:b/>
          <w:bCs/>
          <w:kern w:val="2"/>
          <w:lang w:bidi="ar"/>
        </w:rPr>
        <w:t>三、合同结算</w:t>
      </w:r>
    </w:p>
    <w:p w14:paraId="13BEA393">
      <w:pPr>
        <w:pStyle w:val="9"/>
        <w:spacing w:beforeAutospacing="0" w:after="120" w:afterAutospacing="0" w:line="520" w:lineRule="exact"/>
        <w:ind w:firstLine="480" w:firstLineChars="200"/>
        <w:jc w:val="both"/>
        <w:rPr>
          <w:rFonts w:ascii="仿宋_GB2312" w:hAnsi="仿宋_GB2312" w:eastAsia="仿宋_GB2312" w:cs="仿宋_GB2312"/>
          <w:kern w:val="2"/>
          <w:lang w:bidi="ar"/>
        </w:rPr>
      </w:pPr>
      <w:r>
        <w:rPr>
          <w:rFonts w:hint="eastAsia" w:ascii="仿宋_GB2312" w:hAnsi="仿宋_GB2312" w:eastAsia="仿宋_GB2312" w:cs="仿宋_GB2312"/>
          <w:kern w:val="2"/>
          <w:lang w:bidi="ar"/>
        </w:rPr>
        <w:t>付款方式：</w:t>
      </w:r>
      <w:r>
        <w:rPr>
          <w:rFonts w:hint="eastAsia" w:ascii="仿宋_GB2312" w:hAnsi="仿宋_GB2312" w:eastAsia="仿宋_GB2312" w:cs="仿宋_GB2312"/>
          <w:highlight w:val="none"/>
        </w:rPr>
        <w:t>签订合同后</w:t>
      </w:r>
      <w:r>
        <w:rPr>
          <w:rFonts w:ascii="仿宋_GB2312" w:hAnsi="仿宋_GB2312" w:eastAsia="仿宋_GB2312" w:cs="仿宋_GB2312"/>
          <w:highlight w:val="none"/>
        </w:rPr>
        <w:t xml:space="preserve"> ，达到付款条件起 </w:t>
      </w:r>
      <w:r>
        <w:rPr>
          <w:rFonts w:hint="eastAsia" w:ascii="仿宋_GB2312" w:hAnsi="仿宋_GB2312" w:eastAsia="仿宋_GB2312" w:cs="仿宋_GB2312"/>
          <w:highlight w:val="none"/>
          <w:lang w:val="en-US" w:eastAsia="zh-CN"/>
        </w:rPr>
        <w:t>7</w:t>
      </w:r>
      <w:r>
        <w:rPr>
          <w:rFonts w:ascii="仿宋_GB2312" w:hAnsi="仿宋_GB2312" w:eastAsia="仿宋_GB2312" w:cs="仿宋_GB2312"/>
          <w:highlight w:val="none"/>
        </w:rPr>
        <w:t xml:space="preserve"> 日内，支付合同总金额的 </w:t>
      </w:r>
      <w:r>
        <w:rPr>
          <w:rFonts w:hint="eastAsia" w:ascii="仿宋_GB2312" w:hAnsi="仿宋_GB2312" w:eastAsia="仿宋_GB2312" w:cs="仿宋_GB2312"/>
          <w:highlight w:val="none"/>
          <w:lang w:val="en-US" w:eastAsia="zh-CN"/>
        </w:rPr>
        <w:t>3</w:t>
      </w:r>
      <w:r>
        <w:rPr>
          <w:rFonts w:ascii="仿宋_GB2312" w:hAnsi="仿宋_GB2312" w:eastAsia="仿宋_GB2312" w:cs="仿宋_GB2312"/>
          <w:highlight w:val="none"/>
        </w:rPr>
        <w:t>0.00%</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rPr>
        <w:t>项目交付验收</w:t>
      </w:r>
      <w:r>
        <w:rPr>
          <w:rFonts w:hint="eastAsia" w:ascii="仿宋_GB2312" w:hAnsi="仿宋_GB2312" w:eastAsia="仿宋_GB2312" w:cs="仿宋_GB2312"/>
          <w:highlight w:val="none"/>
          <w:lang w:val="en-US" w:eastAsia="zh-CN"/>
        </w:rPr>
        <w:t>合格</w:t>
      </w:r>
      <w:r>
        <w:rPr>
          <w:rFonts w:hint="eastAsia" w:ascii="仿宋_GB2312" w:hAnsi="仿宋_GB2312" w:eastAsia="仿宋_GB2312" w:cs="仿宋_GB2312"/>
          <w:highlight w:val="none"/>
        </w:rPr>
        <w:t>后</w:t>
      </w:r>
      <w:r>
        <w:rPr>
          <w:rFonts w:ascii="仿宋_GB2312" w:hAnsi="仿宋_GB2312" w:eastAsia="仿宋_GB2312" w:cs="仿宋_GB2312"/>
          <w:highlight w:val="none"/>
        </w:rPr>
        <w:t xml:space="preserve"> ，达到付款条件起 </w:t>
      </w:r>
      <w:r>
        <w:rPr>
          <w:rFonts w:hint="eastAsia" w:ascii="仿宋_GB2312" w:hAnsi="仿宋_GB2312" w:eastAsia="仿宋_GB2312" w:cs="仿宋_GB2312"/>
          <w:highlight w:val="none"/>
          <w:lang w:val="en-US" w:eastAsia="zh-CN"/>
        </w:rPr>
        <w:t>7</w:t>
      </w:r>
      <w:r>
        <w:rPr>
          <w:rFonts w:ascii="仿宋_GB2312" w:hAnsi="仿宋_GB2312" w:eastAsia="仿宋_GB2312" w:cs="仿宋_GB2312"/>
          <w:highlight w:val="none"/>
        </w:rPr>
        <w:t xml:space="preserve"> 日内，支付合同总金额的 </w:t>
      </w:r>
      <w:r>
        <w:rPr>
          <w:rFonts w:hint="eastAsia" w:ascii="仿宋_GB2312" w:hAnsi="仿宋_GB2312" w:eastAsia="仿宋_GB2312" w:cs="仿宋_GB2312"/>
          <w:highlight w:val="none"/>
          <w:lang w:val="en-US" w:eastAsia="zh-CN"/>
        </w:rPr>
        <w:t>7</w:t>
      </w:r>
      <w:r>
        <w:rPr>
          <w:rFonts w:ascii="仿宋_GB2312" w:hAnsi="仿宋_GB2312" w:eastAsia="仿宋_GB2312" w:cs="仿宋_GB2312"/>
          <w:highlight w:val="none"/>
        </w:rPr>
        <w:t>0.00%。</w:t>
      </w:r>
    </w:p>
    <w:p w14:paraId="3B0BBDB5">
      <w:pPr>
        <w:pStyle w:val="9"/>
        <w:spacing w:beforeAutospacing="0" w:after="120" w:afterAutospacing="0" w:line="520" w:lineRule="exact"/>
        <w:ind w:firstLine="482" w:firstLineChars="200"/>
        <w:jc w:val="both"/>
        <w:rPr>
          <w:rFonts w:ascii="黑体" w:hAnsi="宋体" w:eastAsia="黑体" w:cs="黑体"/>
          <w:b/>
          <w:bCs/>
        </w:rPr>
      </w:pPr>
      <w:r>
        <w:rPr>
          <w:rFonts w:hint="eastAsia" w:ascii="黑体" w:hAnsi="宋体" w:eastAsia="黑体" w:cs="黑体"/>
          <w:b/>
          <w:bCs/>
          <w:kern w:val="2"/>
          <w:lang w:bidi="ar"/>
        </w:rPr>
        <w:t>四、交货期、质保期、地点</w:t>
      </w:r>
    </w:p>
    <w:p w14:paraId="6EA550E1">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1、交货期：合同签订后30天完成项目供货、安装调试完毕，交付采购人验收合格。</w:t>
      </w:r>
    </w:p>
    <w:p w14:paraId="0D06B1EC">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2、交货地点：采购人指定地点。</w:t>
      </w:r>
    </w:p>
    <w:p w14:paraId="778C3F20">
      <w:pPr>
        <w:pStyle w:val="14"/>
        <w:spacing w:line="360" w:lineRule="auto"/>
        <w:ind w:firstLine="480" w:firstLineChars="200"/>
        <w:outlineLvl w:val="3"/>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bidi="ar-SA"/>
        </w:rPr>
        <w:t>3、质保期：</w:t>
      </w:r>
      <w:r>
        <w:rPr>
          <w:rFonts w:hint="eastAsia" w:ascii="仿宋_GB2312" w:hAnsi="仿宋_GB2312" w:eastAsia="仿宋_GB2312" w:cs="仿宋_GB2312"/>
          <w:kern w:val="0"/>
          <w:sz w:val="24"/>
          <w:szCs w:val="24"/>
          <w:highlight w:val="none"/>
          <w:lang w:val="en-US" w:eastAsia="zh-Hans" w:bidi="ar-SA"/>
        </w:rPr>
        <w:t>（1）</w:t>
      </w:r>
      <w:r>
        <w:rPr>
          <w:rFonts w:hint="eastAsia" w:ascii="仿宋_GB2312" w:hAnsi="仿宋_GB2312" w:eastAsia="仿宋_GB2312" w:cs="仿宋_GB2312"/>
          <w:kern w:val="0"/>
          <w:sz w:val="24"/>
          <w:szCs w:val="24"/>
          <w:highlight w:val="none"/>
          <w:lang w:val="en-US" w:eastAsia="zh-CN" w:bidi="ar-SA"/>
        </w:rPr>
        <w:t>基础质保期1年，在质保期内乙方应提供本项目所有产品原制造厂商标准的售后服务并承担全</w:t>
      </w:r>
      <w:bookmarkStart w:id="0" w:name="_GoBack"/>
      <w:bookmarkEnd w:id="0"/>
      <w:r>
        <w:rPr>
          <w:rFonts w:hint="eastAsia" w:ascii="仿宋_GB2312" w:hAnsi="仿宋_GB2312" w:eastAsia="仿宋_GB2312" w:cs="仿宋_GB2312"/>
          <w:kern w:val="0"/>
          <w:sz w:val="24"/>
          <w:szCs w:val="24"/>
          <w:highlight w:val="none"/>
          <w:lang w:val="en-US" w:eastAsia="zh-CN" w:bidi="ar-SA"/>
        </w:rPr>
        <w:t>部费用。在质保期外，乙方应提供终身的维修服务，维修所需的原材料费用由甲方承担，人工费由乙方承担 。</w:t>
      </w:r>
    </w:p>
    <w:p w14:paraId="28281B8C">
      <w:pPr>
        <w:pStyle w:val="14"/>
        <w:spacing w:line="360" w:lineRule="auto"/>
        <w:ind w:firstLine="480" w:firstLineChars="200"/>
        <w:outlineLvl w:val="3"/>
        <w:rPr>
          <w:rFonts w:ascii="仿宋_GB2312" w:hAnsi="仿宋_GB2312" w:eastAsia="仿宋_GB2312" w:cs="仿宋_GB2312"/>
        </w:rPr>
      </w:pPr>
      <w:r>
        <w:rPr>
          <w:rFonts w:hint="eastAsia" w:ascii="仿宋_GB2312" w:hAnsi="仿宋_GB2312" w:eastAsia="仿宋_GB2312" w:cs="仿宋_GB2312"/>
          <w:kern w:val="0"/>
          <w:sz w:val="24"/>
          <w:szCs w:val="24"/>
          <w:highlight w:val="none"/>
          <w:lang w:val="en-US" w:eastAsia="zh-CN" w:bidi="ar-SA"/>
        </w:rPr>
        <w:t>（2）无人机设备乙方提供2年的意外损坏：在服务期内，由于意外导致的设备损坏，可通过额度扣减的形式免费维修。</w:t>
      </w:r>
    </w:p>
    <w:p w14:paraId="10D10D39">
      <w:pPr>
        <w:pStyle w:val="9"/>
        <w:spacing w:beforeAutospacing="0" w:after="120" w:afterAutospacing="0" w:line="520" w:lineRule="exact"/>
        <w:ind w:firstLine="482" w:firstLineChars="200"/>
        <w:jc w:val="both"/>
        <w:rPr>
          <w:rFonts w:ascii="黑体" w:hAnsi="宋体" w:eastAsia="黑体" w:cs="黑体"/>
          <w:b/>
          <w:bCs/>
        </w:rPr>
      </w:pPr>
      <w:r>
        <w:rPr>
          <w:rFonts w:hint="eastAsia" w:ascii="黑体" w:hAnsi="宋体" w:eastAsia="黑体" w:cs="黑体"/>
          <w:b/>
          <w:bCs/>
          <w:kern w:val="2"/>
          <w:lang w:bidi="ar"/>
        </w:rPr>
        <w:t>五、运输</w:t>
      </w:r>
    </w:p>
    <w:p w14:paraId="3DA6F108">
      <w:pPr>
        <w:spacing w:line="360" w:lineRule="auto"/>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bidi="ar-SA"/>
        </w:rPr>
        <w:t>包装及运输：</w:t>
      </w:r>
    </w:p>
    <w:p w14:paraId="42F501ED">
      <w:pPr>
        <w:pStyle w:val="14"/>
        <w:spacing w:line="360" w:lineRule="auto"/>
        <w:ind w:firstLine="480" w:firstLineChars="200"/>
        <w:outlineLvl w:val="3"/>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bidi="ar-SA"/>
        </w:rPr>
        <w:t>（1）成交供应商负责货物到达交货地点前的所有包装、运输、装卸及保险事项，相关费用应包括在合同总价中。</w:t>
      </w:r>
    </w:p>
    <w:p w14:paraId="2228EADC">
      <w:pPr>
        <w:pStyle w:val="14"/>
        <w:spacing w:line="360" w:lineRule="auto"/>
        <w:ind w:firstLine="480" w:firstLineChars="200"/>
        <w:outlineLvl w:val="3"/>
        <w:rPr>
          <w:rFonts w:hint="eastAsia" w:ascii="仿宋_GB2312" w:hAnsi="仿宋_GB2312" w:eastAsia="仿宋_GB2312" w:cs="仿宋_GB2312"/>
          <w:kern w:val="0"/>
          <w:sz w:val="24"/>
          <w:szCs w:val="24"/>
          <w:highlight w:val="none"/>
          <w:lang w:val="en-US" w:eastAsia="zh-CN" w:bidi="ar-SA"/>
        </w:rPr>
      </w:pPr>
      <w:r>
        <w:rPr>
          <w:rFonts w:hint="eastAsia" w:ascii="仿宋_GB2312" w:hAnsi="仿宋_GB2312" w:eastAsia="仿宋_GB2312" w:cs="仿宋_GB2312"/>
          <w:kern w:val="0"/>
          <w:sz w:val="24"/>
          <w:szCs w:val="24"/>
          <w:highlight w:val="none"/>
          <w:lang w:val="en-US" w:eastAsia="zh-CN" w:bidi="ar-SA"/>
        </w:rPr>
        <w:t>（2）成交供应商应提供货物运至合同规定的最终目的地所需要的包装，保证所供货物的完整性（包括满足货物完整运行的附件、备件、配套件、技术手册、出厂说明、合格证明等）以防止货物在运转中损坏。这类包装应采取防漏、防晒、防腐蚀、防震动和防粗暴装卸及防止其它损坏的必要保护措施。卖方应承担由于其包装或其防护措施不妥而引起货物锈蚀、损坏和丢失的任何损失责任和费用。</w:t>
      </w:r>
    </w:p>
    <w:p w14:paraId="7007A4C8">
      <w:pPr>
        <w:pStyle w:val="9"/>
        <w:spacing w:beforeAutospacing="0" w:after="120" w:afterAutospacing="0" w:line="360" w:lineRule="auto"/>
        <w:ind w:firstLine="480" w:firstLineChars="200"/>
        <w:jc w:val="both"/>
        <w:rPr>
          <w:rFonts w:ascii="仿宋_GB2312" w:hAnsi="仿宋_GB2312" w:eastAsia="仿宋_GB2312" w:cs="仿宋_GB2312"/>
        </w:rPr>
      </w:pPr>
      <w:r>
        <w:rPr>
          <w:rFonts w:hint="eastAsia" w:ascii="仿宋_GB2312" w:hAnsi="仿宋_GB2312" w:eastAsia="仿宋_GB2312" w:cs="仿宋_GB2312"/>
          <w:kern w:val="0"/>
          <w:sz w:val="24"/>
          <w:szCs w:val="24"/>
          <w:highlight w:val="none"/>
          <w:lang w:val="en-US" w:eastAsia="zh-CN" w:bidi="ar-SA"/>
        </w:rPr>
        <w:t>（3）货物的运输方式由成交供应商自行选择，但包装必须满足货物运输和装卸的要求，保证买方收到的是无任何损伤的货物。否则，因此造成的损失由卖方自行承担。</w:t>
      </w:r>
    </w:p>
    <w:p w14:paraId="08E2BADD">
      <w:pPr>
        <w:pStyle w:val="9"/>
        <w:spacing w:beforeAutospacing="0" w:after="120" w:afterAutospacing="0" w:line="520" w:lineRule="exact"/>
        <w:ind w:firstLine="482" w:firstLineChars="200"/>
        <w:jc w:val="both"/>
        <w:rPr>
          <w:rFonts w:ascii="黑体" w:hAnsi="宋体" w:eastAsia="黑体" w:cs="黑体"/>
          <w:b/>
          <w:bCs/>
        </w:rPr>
      </w:pPr>
      <w:r>
        <w:rPr>
          <w:rFonts w:hint="eastAsia" w:ascii="黑体" w:hAnsi="宋体" w:eastAsia="黑体" w:cs="黑体"/>
          <w:b/>
          <w:bCs/>
          <w:kern w:val="2"/>
          <w:lang w:bidi="ar"/>
        </w:rPr>
        <w:t>六、质量保证</w:t>
      </w:r>
    </w:p>
    <w:p w14:paraId="392C65EC">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1、乙方提供设备的型号参数必须与磋商响应文件所投产品一致，其余任何有出入的设备甲方均不接受。</w:t>
      </w:r>
    </w:p>
    <w:p w14:paraId="1CFBF5BD">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2、乙方使用的原材料应提供清单，并在到货24小时内通知甲方代表检验核实（具体方式在合同中明确）。</w:t>
      </w:r>
    </w:p>
    <w:p w14:paraId="0C431BD1">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3、乙方应当保证所供货物的来源渠道正常，设备是全新的、未使用过的、且完全符合合同规定的质量、规格、技术指标等要求，并在质保期内、外应对由于设备设计、工艺或材料的缺陷而产生的质量问题负责。</w:t>
      </w:r>
    </w:p>
    <w:p w14:paraId="1C60A036">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4、验收合格后，在质保期内，如果发现货物的质量、规格、技术指标等存在与合同中任何一项不符，甲方应在最短时间内，以书面形式向乙方提出索赔，同时通告采购代理机构。</w:t>
      </w:r>
    </w:p>
    <w:p w14:paraId="67CC37CA">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5、乙方应保证所有设备的完好无损包括配套包装，如有缺漏、损坏，由乙方负责调换、补齐或赔偿。</w:t>
      </w:r>
    </w:p>
    <w:p w14:paraId="2612E2B4">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6、甲方使用设备过程中因设备质量、设备缺陷及安装质量等造成人身伤亡、财产损失的，由乙方负责解决并承担全部责任。</w:t>
      </w:r>
    </w:p>
    <w:p w14:paraId="2AF9C439">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7、乙方应对质保期内非人为因素损坏设备提供免费维修服务，对人为因素损坏可提供有偿服务。除个性化定制设备外，应承诺7天无理由退换货。</w:t>
      </w:r>
    </w:p>
    <w:p w14:paraId="535E6032">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8、乙方应当明确售后服务公约，承诺免费维修服务条件。</w:t>
      </w:r>
    </w:p>
    <w:p w14:paraId="02E931B5">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9、包装要求</w:t>
      </w:r>
    </w:p>
    <w:p w14:paraId="15AFA54F">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9.1除合同另有规定外，乙方提供的全部货物，均应按标准保护措施进行包装，并确保货物安全无损运抵甲方指定地点。</w:t>
      </w:r>
    </w:p>
    <w:p w14:paraId="15479F86">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9.2每一个包装箱内应附一份详细装箱单和质量合格证。</w:t>
      </w:r>
    </w:p>
    <w:p w14:paraId="6F0FAA9C">
      <w:pPr>
        <w:pStyle w:val="9"/>
        <w:numPr>
          <w:ilvl w:val="0"/>
          <w:numId w:val="1"/>
        </w:numPr>
        <w:spacing w:beforeAutospacing="0" w:after="120" w:afterAutospacing="0" w:line="520" w:lineRule="exact"/>
        <w:ind w:firstLine="480" w:firstLineChars="200"/>
        <w:jc w:val="both"/>
        <w:rPr>
          <w:rFonts w:ascii="仿宋_GB2312" w:hAnsi="仿宋_GB2312" w:eastAsia="仿宋_GB2312" w:cs="仿宋_GB2312"/>
          <w:kern w:val="2"/>
          <w:lang w:bidi="ar"/>
        </w:rPr>
      </w:pPr>
      <w:r>
        <w:rPr>
          <w:rFonts w:hint="eastAsia" w:ascii="仿宋_GB2312" w:hAnsi="仿宋_GB2312" w:eastAsia="仿宋_GB2312" w:cs="仿宋_GB2312"/>
          <w:kern w:val="2"/>
          <w:lang w:bidi="ar"/>
        </w:rPr>
        <w:t>乙方应保证甲方在使用该货物或其任何一部分时免受第三方提出侵犯其专利权、商标权或工业设计权的起诉。</w:t>
      </w:r>
    </w:p>
    <w:p w14:paraId="21FA6FEE">
      <w:pPr>
        <w:pStyle w:val="9"/>
        <w:spacing w:beforeAutospacing="0" w:after="120" w:afterAutospacing="0" w:line="520" w:lineRule="exact"/>
        <w:ind w:firstLine="482" w:firstLineChars="200"/>
        <w:jc w:val="both"/>
        <w:rPr>
          <w:rFonts w:ascii="黑体" w:hAnsi="宋体" w:eastAsia="黑体" w:cs="黑体"/>
          <w:b/>
          <w:bCs/>
        </w:rPr>
      </w:pPr>
      <w:r>
        <w:rPr>
          <w:rFonts w:hint="eastAsia" w:ascii="黑体" w:hAnsi="宋体" w:eastAsia="黑体" w:cs="黑体"/>
          <w:b/>
          <w:bCs/>
          <w:kern w:val="2"/>
          <w:lang w:bidi="ar"/>
        </w:rPr>
        <w:t>七、技术服务</w:t>
      </w:r>
    </w:p>
    <w:p w14:paraId="78F54105">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1、对技术服务的要求：根据合同指定内容完成相关技术服务。</w:t>
      </w:r>
    </w:p>
    <w:p w14:paraId="449BD26F">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2、技术资料：</w:t>
      </w:r>
    </w:p>
    <w:p w14:paraId="2275D1B9">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2.1设备合格证及检验报告；</w:t>
      </w:r>
    </w:p>
    <w:p w14:paraId="3C15FD8F">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2.2设备使用说明书（中文）；</w:t>
      </w:r>
    </w:p>
    <w:p w14:paraId="5E6A517B">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2.3其它资料。</w:t>
      </w:r>
    </w:p>
    <w:p w14:paraId="6FD67AAC">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3、技术培训：</w:t>
      </w:r>
    </w:p>
    <w:p w14:paraId="7699C0E6">
      <w:pPr>
        <w:pStyle w:val="9"/>
        <w:spacing w:beforeAutospacing="0" w:after="120" w:afterAutospacing="0" w:line="520" w:lineRule="exact"/>
        <w:ind w:firstLine="480" w:firstLineChars="200"/>
        <w:jc w:val="both"/>
        <w:rPr>
          <w:rFonts w:ascii="仿宋_GB2312" w:hAnsi="仿宋_GB2312" w:eastAsia="仿宋_GB2312" w:cs="仿宋_GB2312"/>
          <w:kern w:val="2"/>
          <w:lang w:bidi="ar"/>
        </w:rPr>
      </w:pPr>
      <w:r>
        <w:rPr>
          <w:rFonts w:hint="eastAsia" w:ascii="仿宋_GB2312" w:hAnsi="仿宋_GB2312" w:eastAsia="仿宋_GB2312" w:cs="仿宋_GB2312"/>
          <w:kern w:val="2"/>
          <w:lang w:bidi="ar"/>
        </w:rPr>
        <w:t>3.1培训内容：</w:t>
      </w:r>
    </w:p>
    <w:p w14:paraId="166A5DD0">
      <w:pPr>
        <w:pStyle w:val="9"/>
        <w:spacing w:beforeAutospacing="0" w:after="120" w:afterAutospacing="0" w:line="520" w:lineRule="exact"/>
        <w:ind w:firstLine="480" w:firstLineChars="200"/>
        <w:jc w:val="both"/>
        <w:rPr>
          <w:rFonts w:ascii="仿宋_GB2312" w:hAnsi="仿宋_GB2312" w:eastAsia="仿宋_GB2312" w:cs="仿宋_GB2312"/>
          <w:kern w:val="2"/>
          <w:lang w:bidi="ar"/>
        </w:rPr>
      </w:pPr>
      <w:r>
        <w:rPr>
          <w:rFonts w:hint="eastAsia" w:ascii="仿宋_GB2312" w:hAnsi="仿宋_GB2312" w:eastAsia="仿宋_GB2312" w:cs="仿宋_GB2312"/>
          <w:kern w:val="2"/>
          <w:lang w:bidi="ar"/>
        </w:rPr>
        <w:t>3.2培训地点：</w:t>
      </w:r>
    </w:p>
    <w:p w14:paraId="0F3C9EF8">
      <w:pPr>
        <w:pStyle w:val="9"/>
        <w:spacing w:beforeAutospacing="0" w:after="120" w:afterAutospacing="0" w:line="520" w:lineRule="exact"/>
        <w:ind w:firstLine="480" w:firstLineChars="200"/>
        <w:jc w:val="both"/>
        <w:rPr>
          <w:rFonts w:ascii="仿宋_GB2312" w:hAnsi="仿宋_GB2312" w:eastAsia="仿宋_GB2312" w:cs="仿宋_GB2312"/>
          <w:kern w:val="2"/>
          <w:lang w:bidi="ar"/>
        </w:rPr>
      </w:pPr>
      <w:r>
        <w:rPr>
          <w:rFonts w:hint="eastAsia" w:ascii="仿宋_GB2312" w:hAnsi="仿宋_GB2312" w:eastAsia="仿宋_GB2312" w:cs="仿宋_GB2312"/>
          <w:kern w:val="2"/>
          <w:lang w:bidi="ar"/>
        </w:rPr>
        <w:t>3.3培训时间：</w:t>
      </w:r>
    </w:p>
    <w:p w14:paraId="07DE90AF">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3.4培训人数：</w:t>
      </w:r>
    </w:p>
    <w:p w14:paraId="55C64CDA">
      <w:pPr>
        <w:pStyle w:val="9"/>
        <w:spacing w:beforeAutospacing="0" w:after="120" w:afterAutospacing="0" w:line="520" w:lineRule="exact"/>
        <w:ind w:firstLine="480" w:firstLineChars="200"/>
        <w:jc w:val="both"/>
        <w:rPr>
          <w:rFonts w:ascii="仿宋_GB2312" w:hAnsi="仿宋_GB2312" w:eastAsia="仿宋_GB2312" w:cs="仿宋_GB2312"/>
          <w:kern w:val="2"/>
          <w:lang w:bidi="ar"/>
        </w:rPr>
      </w:pPr>
      <w:r>
        <w:rPr>
          <w:rFonts w:hint="eastAsia" w:ascii="仿宋_GB2312" w:hAnsi="仿宋_GB2312" w:eastAsia="仿宋_GB2312" w:cs="仿宋_GB2312"/>
          <w:kern w:val="2"/>
          <w:lang w:bidi="ar"/>
        </w:rPr>
        <w:t>3.5培训费用：</w:t>
      </w:r>
    </w:p>
    <w:p w14:paraId="3B50D147">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4、售后服务</w:t>
      </w:r>
    </w:p>
    <w:p w14:paraId="6CBF06E4">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 xml:space="preserve">所有设备由成交供应商负责供货、施工、安装、调试、售后服务，并培训操作人员。 </w:t>
      </w:r>
    </w:p>
    <w:p w14:paraId="7AE5E5FF">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 xml:space="preserve">电话咨询： 供应商或厂家应当为采购人提供技术援助电话，解答采购人在使用中遇到的问题，及时为采购人提出解决问题的建议。 现场响应采购人遇到的使用及技术问题，电话咨询不能解决的，供应商或厂家应在 2小时内采取相应措施，8小时内提供上门服务，无法在24小时内排除故障的，应在48小时内提供备用设备，使采购人能够正常使用。 </w:t>
      </w:r>
    </w:p>
    <w:p w14:paraId="1B5C788E">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质保期外服务要求：</w:t>
      </w:r>
    </w:p>
    <w:p w14:paraId="504A4AD6">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 xml:space="preserve">质量保证期过后，供应商或厂家应同样提供免费电话咨询服务，并应承诺提供上门维修服务。 </w:t>
      </w:r>
    </w:p>
    <w:p w14:paraId="44710F3E">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质量保证期过后，采购人需要继续由供应商或厂家提供售后服务的，该供应商或厂家应以优惠价格提供售后服务。</w:t>
      </w:r>
    </w:p>
    <w:p w14:paraId="391A3698">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5、伴随服务</w:t>
      </w:r>
    </w:p>
    <w:p w14:paraId="65F608EC">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5.1乙方应随同每套货物提供相应的中文的技术文件。</w:t>
      </w:r>
    </w:p>
    <w:p w14:paraId="40BAFBB8">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5.1.1完整的操作使用手册和维护、修理技术文件，图纸、保修卡等。</w:t>
      </w:r>
    </w:p>
    <w:p w14:paraId="191DA6C0">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5.1.2制造厂的检验、测试报告、检验合格证书，计量合格等级证书，质量保证书等文件须随设备装箱提供。</w:t>
      </w:r>
    </w:p>
    <w:p w14:paraId="7282555F">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5.1.3必须的其它技术资料。</w:t>
      </w:r>
    </w:p>
    <w:p w14:paraId="1B6F41AB">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5.2伴随服务的费用已含在合同价中，不单独进行支付。</w:t>
      </w:r>
    </w:p>
    <w:p w14:paraId="30D44A5E">
      <w:pPr>
        <w:pStyle w:val="9"/>
        <w:spacing w:beforeAutospacing="0" w:after="120" w:afterAutospacing="0" w:line="520" w:lineRule="exact"/>
        <w:ind w:firstLine="482" w:firstLineChars="200"/>
        <w:jc w:val="both"/>
        <w:rPr>
          <w:rFonts w:ascii="黑体" w:hAnsi="宋体" w:eastAsia="黑体" w:cs="黑体"/>
          <w:b/>
          <w:bCs/>
        </w:rPr>
      </w:pPr>
      <w:r>
        <w:rPr>
          <w:rFonts w:hint="eastAsia" w:ascii="黑体" w:hAnsi="宋体" w:eastAsia="黑体" w:cs="黑体"/>
          <w:b/>
          <w:bCs/>
          <w:kern w:val="2"/>
          <w:lang w:bidi="ar"/>
        </w:rPr>
        <w:t>八、验收</w:t>
      </w:r>
    </w:p>
    <w:p w14:paraId="3753E8A9">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1、到货验收：货物到货后，由甲方与乙方共同进行外观验收，验收内容包括，外包装的完好性，货物品牌、规格、数量及产地与合同要求的一致性。</w:t>
      </w:r>
    </w:p>
    <w:p w14:paraId="590AC6F0">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2、货物运行验收：乙方安装调试合格后，向甲方提出验收申请，甲方接到乙方验收申请后组织验收（必要时可聘请相应专家或委托相应部门验收），验收合格后，出具使用验收合格证明。</w:t>
      </w:r>
    </w:p>
    <w:p w14:paraId="288F798D">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3、最终验收：最终验收结果作为付款依据，乙方填写验收单，并向甲方提交实施过程中的所有资料，以便甲方日后管理和维护。</w:t>
      </w:r>
    </w:p>
    <w:p w14:paraId="257C70BE">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4、质保期满后：由乙方出具质保期运行质量报告，作为质保金支付依据，若存在质量问题，应按相应规定协商处理。</w:t>
      </w:r>
    </w:p>
    <w:p w14:paraId="507B24AB">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5、验收依据：</w:t>
      </w:r>
    </w:p>
    <w:p w14:paraId="676599D7">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5.1合同文本、合同附件、招标文件、投标文件。</w:t>
      </w:r>
    </w:p>
    <w:p w14:paraId="0C2942FD">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5.2国内相应的标准、规范。</w:t>
      </w:r>
    </w:p>
    <w:p w14:paraId="7DB180E7">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6、本项目采购内容包含蛋鸡舍建设部分，验收标准见附件《鸡舍验收内容及验收标准》</w:t>
      </w:r>
    </w:p>
    <w:p w14:paraId="7E54F773">
      <w:pPr>
        <w:pStyle w:val="9"/>
        <w:spacing w:beforeAutospacing="0" w:after="120" w:afterAutospacing="0" w:line="520" w:lineRule="exact"/>
        <w:ind w:firstLine="482" w:firstLineChars="200"/>
        <w:jc w:val="both"/>
        <w:rPr>
          <w:rFonts w:ascii="黑体" w:hAnsi="宋体" w:eastAsia="黑体" w:cs="黑体"/>
          <w:b/>
          <w:bCs/>
        </w:rPr>
      </w:pPr>
      <w:r>
        <w:rPr>
          <w:rFonts w:hint="eastAsia" w:ascii="黑体" w:hAnsi="宋体" w:eastAsia="黑体" w:cs="黑体"/>
          <w:b/>
          <w:bCs/>
          <w:kern w:val="2"/>
          <w:lang w:bidi="ar"/>
        </w:rPr>
        <w:t>九、违约责任</w:t>
      </w:r>
    </w:p>
    <w:p w14:paraId="40903A9D">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1、按《中华人民共和国民法典》中的相关条款执行。</w:t>
      </w:r>
    </w:p>
    <w:p w14:paraId="74F892CA">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2、乙方履约延误</w:t>
      </w:r>
    </w:p>
    <w:p w14:paraId="3146FB2C">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2.1如乙方事先未征得甲方同意并得到甲方的谅解而单方面延迟交货，将按违约终止合同。</w:t>
      </w:r>
    </w:p>
    <w:p w14:paraId="4E2C07BF">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2D4DD9AB">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3、因甲方原因导制变更、中止或者终止政府采购合同的，甲方应当依照合同约定对投标人受到的损失予以赔偿或者补偿。</w:t>
      </w:r>
    </w:p>
    <w:p w14:paraId="6012CD98">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4、处罚条款：若乙方在实际供货过程中出现违反合同条款的情况，包括但不限于：</w:t>
      </w:r>
    </w:p>
    <w:p w14:paraId="5C7FFF97">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4.1所供设备与投标设备参数不符；</w:t>
      </w:r>
    </w:p>
    <w:p w14:paraId="62DD203E">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4.2所供设备与投标时提供的样品不一致；</w:t>
      </w:r>
    </w:p>
    <w:p w14:paraId="3819BEAA">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4.3未按甲方指定地点供货；</w:t>
      </w:r>
    </w:p>
    <w:p w14:paraId="4237317B">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4.4因设备质量产生的所有后果由乙方全权负责。</w:t>
      </w:r>
    </w:p>
    <w:p w14:paraId="42F4CB57">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由于乙方原因造成的违反合同条款的情况，甲方有权随时终止合同。</w:t>
      </w:r>
    </w:p>
    <w:p w14:paraId="1F40432B">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5、违约终止合同：未按合同要求提供货物或质量不能满足技术要求，甲方会同监督机构有权终止合同，对乙方违约行为进行追究，同时按政府采购法的有关规定进行相应的处罚。</w:t>
      </w:r>
    </w:p>
    <w:p w14:paraId="7EDE86C7">
      <w:pPr>
        <w:pStyle w:val="9"/>
        <w:spacing w:beforeAutospacing="0" w:after="120" w:afterAutospacing="0" w:line="520" w:lineRule="exact"/>
        <w:ind w:firstLine="482" w:firstLineChars="200"/>
        <w:jc w:val="both"/>
        <w:rPr>
          <w:rFonts w:ascii="黑体" w:hAnsi="宋体" w:eastAsia="黑体" w:cs="黑体"/>
          <w:b/>
          <w:bCs/>
        </w:rPr>
      </w:pPr>
      <w:r>
        <w:rPr>
          <w:rFonts w:hint="eastAsia" w:ascii="黑体" w:hAnsi="宋体" w:eastAsia="黑体" w:cs="黑体"/>
          <w:b/>
          <w:bCs/>
          <w:kern w:val="2"/>
          <w:lang w:bidi="ar"/>
        </w:rPr>
        <w:t>十、解决争议的方法</w:t>
      </w:r>
    </w:p>
    <w:p w14:paraId="6BEB733D">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凡因本合同引起的或与本合同有关的争议，双方应友好协商解决。协商不成时，双方均同意采用以下第（ 1 ）种争议解决方式：</w:t>
      </w:r>
    </w:p>
    <w:p w14:paraId="795182D1">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甲、乙双方均同意向（甲方所在地人民法院）提起诉讼。</w:t>
      </w:r>
    </w:p>
    <w:p w14:paraId="749ADDCE">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甲、乙双方均同意向（仲裁委员会）提起仲裁。</w:t>
      </w:r>
    </w:p>
    <w:p w14:paraId="26F5BA80">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合同生效及其它</w:t>
      </w:r>
    </w:p>
    <w:p w14:paraId="4FA03C30">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1、合同未尽事宜、由甲、乙双方协商，作为合同补充，与原合同具有同等法律效力。</w:t>
      </w:r>
    </w:p>
    <w:p w14:paraId="7436B31C">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2、本合同一式2份，甲方、乙方双方分别执1份，合同复印件、扫描件具备同等效力。</w:t>
      </w:r>
    </w:p>
    <w:p w14:paraId="03981CE3">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3、合同经甲乙双方盖章、签字后生效，合同签订地址：安康市汉滨区。</w:t>
      </w:r>
    </w:p>
    <w:p w14:paraId="31EC8AD0">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4、生效时间：     年    月    日</w:t>
      </w:r>
    </w:p>
    <w:p w14:paraId="7723AF11">
      <w:pPr>
        <w:pStyle w:val="9"/>
        <w:spacing w:beforeAutospacing="0" w:after="120" w:afterAutospacing="0" w:line="520" w:lineRule="exact"/>
        <w:ind w:firstLine="480" w:firstLineChars="200"/>
        <w:jc w:val="both"/>
        <w:rPr>
          <w:rFonts w:ascii="仿宋_GB2312" w:hAnsi="仿宋_GB2312" w:eastAsia="仿宋_GB2312" w:cs="仿宋_GB2312"/>
          <w:kern w:val="2"/>
          <w:lang w:bidi="ar"/>
        </w:rPr>
      </w:pPr>
      <w:r>
        <w:rPr>
          <w:rFonts w:hint="eastAsia" w:ascii="仿宋_GB2312" w:hAnsi="仿宋_GB2312" w:eastAsia="仿宋_GB2312" w:cs="仿宋_GB2312"/>
          <w:kern w:val="2"/>
          <w:lang w:bidi="ar"/>
        </w:rPr>
        <w:t>【以下无正文】</w:t>
      </w:r>
    </w:p>
    <w:p w14:paraId="71262101">
      <w:pPr>
        <w:pStyle w:val="9"/>
        <w:spacing w:beforeAutospacing="0" w:after="120" w:afterAutospacing="0" w:line="52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kern w:val="2"/>
          <w:lang w:bidi="ar"/>
        </w:rPr>
        <w:t>【以下为签字盖章页】</w:t>
      </w:r>
    </w:p>
    <w:tbl>
      <w:tblPr>
        <w:tblStyle w:val="12"/>
        <w:tblpPr w:leftFromText="180" w:rightFromText="180" w:vertAnchor="text" w:horzAnchor="page" w:tblpX="2633" w:tblpY="987"/>
        <w:tblOverlap w:val="never"/>
        <w:tblW w:w="7260" w:type="dxa"/>
        <w:tblInd w:w="0" w:type="dxa"/>
        <w:tblLayout w:type="fixed"/>
        <w:tblCellMar>
          <w:top w:w="0" w:type="dxa"/>
          <w:left w:w="108" w:type="dxa"/>
          <w:bottom w:w="0" w:type="dxa"/>
          <w:right w:w="108" w:type="dxa"/>
        </w:tblCellMar>
      </w:tblPr>
      <w:tblGrid>
        <w:gridCol w:w="3630"/>
        <w:gridCol w:w="3630"/>
      </w:tblGrid>
      <w:tr w14:paraId="00976F2C">
        <w:tblPrEx>
          <w:tblCellMar>
            <w:top w:w="0" w:type="dxa"/>
            <w:left w:w="108" w:type="dxa"/>
            <w:bottom w:w="0" w:type="dxa"/>
            <w:right w:w="108" w:type="dxa"/>
          </w:tblCellMar>
        </w:tblPrEx>
        <w:trPr>
          <w:trHeight w:val="5403" w:hRule="atLeast"/>
        </w:trPr>
        <w:tc>
          <w:tcPr>
            <w:tcW w:w="4540" w:type="dxa"/>
            <w:shd w:val="clear" w:color="auto" w:fill="auto"/>
          </w:tcPr>
          <w:p w14:paraId="48488679">
            <w:pPr>
              <w:pStyle w:val="9"/>
              <w:spacing w:beforeAutospacing="0" w:after="120" w:afterAutospacing="0" w:line="520" w:lineRule="exact"/>
              <w:jc w:val="both"/>
              <w:rPr>
                <w:rFonts w:ascii="仿宋_GB2312" w:hAnsi="仿宋_GB2312" w:eastAsia="仿宋_GB2312" w:cs="仿宋_GB2312"/>
                <w:kern w:val="2"/>
                <w:lang w:bidi="ar"/>
              </w:rPr>
            </w:pPr>
            <w:r>
              <w:rPr>
                <w:rFonts w:hint="eastAsia" w:ascii="仿宋_GB2312" w:hAnsi="仿宋_GB2312" w:eastAsia="仿宋_GB2312" w:cs="仿宋_GB2312"/>
                <w:kern w:val="2"/>
                <w:lang w:bidi="ar"/>
              </w:rPr>
              <w:t>甲方名称（盖章）：</w:t>
            </w:r>
          </w:p>
          <w:p w14:paraId="0C3B9C8D">
            <w:pPr>
              <w:pStyle w:val="9"/>
              <w:spacing w:beforeAutospacing="0" w:after="120" w:afterAutospacing="0" w:line="520" w:lineRule="exact"/>
              <w:jc w:val="both"/>
              <w:rPr>
                <w:rFonts w:ascii="仿宋_GB2312" w:hAnsi="仿宋_GB2312" w:eastAsia="仿宋_GB2312" w:cs="仿宋_GB2312"/>
              </w:rPr>
            </w:pPr>
            <w:r>
              <w:rPr>
                <w:rFonts w:hint="eastAsia" w:ascii="仿宋_GB2312" w:hAnsi="仿宋_GB2312" w:eastAsia="仿宋_GB2312" w:cs="仿宋_GB2312"/>
                <w:kern w:val="2"/>
                <w:lang w:bidi="ar"/>
              </w:rPr>
              <w:t>地址：</w:t>
            </w:r>
          </w:p>
          <w:p w14:paraId="3B761179">
            <w:pPr>
              <w:pStyle w:val="9"/>
              <w:spacing w:beforeAutospacing="0" w:after="120" w:afterAutospacing="0" w:line="520" w:lineRule="exact"/>
              <w:jc w:val="both"/>
              <w:rPr>
                <w:rFonts w:ascii="仿宋_GB2312" w:hAnsi="仿宋_GB2312" w:eastAsia="仿宋_GB2312" w:cs="仿宋_GB2312"/>
              </w:rPr>
            </w:pPr>
            <w:r>
              <w:rPr>
                <w:rFonts w:hint="eastAsia" w:ascii="仿宋_GB2312" w:hAnsi="仿宋_GB2312" w:eastAsia="仿宋_GB2312" w:cs="仿宋_GB2312"/>
                <w:kern w:val="2"/>
                <w:lang w:bidi="ar"/>
              </w:rPr>
              <w:t>代表人（签字）：</w:t>
            </w:r>
          </w:p>
          <w:p w14:paraId="2A51FC05">
            <w:pPr>
              <w:pStyle w:val="9"/>
              <w:spacing w:beforeAutospacing="0" w:after="120" w:afterAutospacing="0" w:line="520" w:lineRule="exact"/>
              <w:jc w:val="both"/>
              <w:rPr>
                <w:rFonts w:ascii="仿宋_GB2312" w:hAnsi="仿宋_GB2312" w:eastAsia="仿宋_GB2312" w:cs="仿宋_GB2312"/>
              </w:rPr>
            </w:pPr>
            <w:r>
              <w:rPr>
                <w:rFonts w:hint="eastAsia" w:ascii="仿宋_GB2312" w:hAnsi="仿宋_GB2312" w:eastAsia="仿宋_GB2312" w:cs="仿宋_GB2312"/>
                <w:kern w:val="2"/>
                <w:lang w:bidi="ar"/>
              </w:rPr>
              <w:t>电话：/</w:t>
            </w:r>
          </w:p>
          <w:p w14:paraId="6B6061AA">
            <w:pPr>
              <w:pStyle w:val="9"/>
              <w:spacing w:beforeAutospacing="0" w:after="120" w:afterAutospacing="0" w:line="520" w:lineRule="exact"/>
              <w:jc w:val="both"/>
              <w:rPr>
                <w:rFonts w:ascii="仿宋_GB2312" w:hAnsi="仿宋_GB2312" w:eastAsia="仿宋_GB2312" w:cs="仿宋_GB2312"/>
              </w:rPr>
            </w:pPr>
            <w:r>
              <w:rPr>
                <w:rFonts w:hint="eastAsia" w:ascii="仿宋_GB2312" w:hAnsi="仿宋_GB2312" w:eastAsia="仿宋_GB2312" w:cs="仿宋_GB2312"/>
                <w:kern w:val="2"/>
                <w:lang w:bidi="ar"/>
              </w:rPr>
              <w:t>开户银行：/</w:t>
            </w:r>
          </w:p>
          <w:p w14:paraId="0DE72654">
            <w:pPr>
              <w:pStyle w:val="9"/>
              <w:spacing w:beforeAutospacing="0" w:after="120" w:afterAutospacing="0" w:line="520" w:lineRule="exact"/>
              <w:jc w:val="both"/>
              <w:rPr>
                <w:rFonts w:ascii="仿宋_GB2312" w:hAnsi="仿宋_GB2312" w:eastAsia="仿宋_GB2312" w:cs="仿宋_GB2312"/>
              </w:rPr>
            </w:pPr>
            <w:r>
              <w:rPr>
                <w:rFonts w:hint="eastAsia" w:ascii="仿宋_GB2312" w:hAnsi="仿宋_GB2312" w:eastAsia="仿宋_GB2312" w:cs="仿宋_GB2312"/>
                <w:kern w:val="2"/>
                <w:lang w:bidi="ar"/>
              </w:rPr>
              <w:t>帐号：/</w:t>
            </w:r>
          </w:p>
        </w:tc>
        <w:tc>
          <w:tcPr>
            <w:tcW w:w="4540" w:type="dxa"/>
            <w:shd w:val="clear" w:color="auto" w:fill="auto"/>
          </w:tcPr>
          <w:p w14:paraId="0AE8F4C9">
            <w:pPr>
              <w:pStyle w:val="9"/>
              <w:spacing w:beforeAutospacing="0" w:after="120" w:afterAutospacing="0" w:line="520" w:lineRule="exact"/>
              <w:jc w:val="both"/>
              <w:rPr>
                <w:rFonts w:ascii="仿宋_GB2312" w:hAnsi="仿宋_GB2312" w:eastAsia="仿宋_GB2312" w:cs="仿宋_GB2312"/>
              </w:rPr>
            </w:pPr>
            <w:r>
              <w:rPr>
                <w:rFonts w:hint="eastAsia" w:ascii="仿宋_GB2312" w:hAnsi="仿宋_GB2312" w:eastAsia="仿宋_GB2312" w:cs="仿宋_GB2312"/>
                <w:kern w:val="2"/>
                <w:lang w:bidi="ar"/>
              </w:rPr>
              <w:t>乙方名称（盖章）:公司</w:t>
            </w:r>
          </w:p>
          <w:p w14:paraId="76558E7D">
            <w:pPr>
              <w:pStyle w:val="9"/>
              <w:spacing w:beforeAutospacing="0" w:after="120" w:afterAutospacing="0" w:line="520" w:lineRule="exact"/>
              <w:jc w:val="both"/>
              <w:rPr>
                <w:rFonts w:ascii="仿宋_GB2312" w:hAnsi="仿宋_GB2312" w:eastAsia="仿宋_GB2312" w:cs="仿宋_GB2312"/>
              </w:rPr>
            </w:pPr>
            <w:r>
              <w:rPr>
                <w:rFonts w:hint="eastAsia" w:ascii="仿宋_GB2312" w:hAnsi="仿宋_GB2312" w:eastAsia="仿宋_GB2312" w:cs="仿宋_GB2312"/>
                <w:kern w:val="2"/>
                <w:lang w:bidi="ar"/>
              </w:rPr>
              <w:t>地址：代表人（签字）：</w:t>
            </w:r>
          </w:p>
          <w:p w14:paraId="3BED08D9">
            <w:pPr>
              <w:pStyle w:val="9"/>
              <w:spacing w:beforeAutospacing="0" w:after="120" w:afterAutospacing="0" w:line="520" w:lineRule="exact"/>
              <w:jc w:val="both"/>
              <w:rPr>
                <w:rFonts w:ascii="仿宋_GB2312" w:hAnsi="仿宋_GB2312" w:eastAsia="仿宋_GB2312" w:cs="仿宋_GB2312"/>
              </w:rPr>
            </w:pPr>
            <w:r>
              <w:rPr>
                <w:rFonts w:hint="eastAsia" w:ascii="仿宋_GB2312" w:hAnsi="仿宋_GB2312" w:eastAsia="仿宋_GB2312" w:cs="仿宋_GB2312"/>
                <w:kern w:val="2"/>
                <w:lang w:bidi="ar"/>
              </w:rPr>
              <w:t>电话：</w:t>
            </w:r>
          </w:p>
          <w:p w14:paraId="7518383F">
            <w:pPr>
              <w:pStyle w:val="9"/>
              <w:spacing w:beforeAutospacing="0" w:after="120" w:afterAutospacing="0" w:line="520" w:lineRule="exact"/>
              <w:jc w:val="both"/>
              <w:rPr>
                <w:rFonts w:ascii="仿宋_GB2312" w:hAnsi="仿宋_GB2312" w:eastAsia="仿宋_GB2312" w:cs="仿宋_GB2312"/>
              </w:rPr>
            </w:pPr>
            <w:r>
              <w:rPr>
                <w:rFonts w:hint="eastAsia" w:ascii="仿宋_GB2312" w:hAnsi="仿宋_GB2312" w:eastAsia="仿宋_GB2312" w:cs="仿宋_GB2312"/>
                <w:kern w:val="2"/>
                <w:lang w:bidi="ar"/>
              </w:rPr>
              <w:t>开户银行：</w:t>
            </w:r>
          </w:p>
          <w:p w14:paraId="7B09A5F3">
            <w:pPr>
              <w:pStyle w:val="9"/>
              <w:spacing w:beforeAutospacing="0" w:after="120" w:afterAutospacing="0" w:line="520" w:lineRule="exact"/>
              <w:jc w:val="both"/>
              <w:rPr>
                <w:rFonts w:ascii="仿宋_GB2312" w:hAnsi="仿宋_GB2312" w:eastAsia="仿宋_GB2312" w:cs="仿宋_GB2312"/>
              </w:rPr>
            </w:pPr>
            <w:r>
              <w:rPr>
                <w:rFonts w:hint="eastAsia" w:ascii="仿宋_GB2312" w:hAnsi="仿宋_GB2312" w:eastAsia="仿宋_GB2312" w:cs="仿宋_GB2312"/>
                <w:kern w:val="2"/>
                <w:lang w:bidi="ar"/>
              </w:rPr>
              <w:t>帐号：</w:t>
            </w:r>
          </w:p>
        </w:tc>
      </w:tr>
    </w:tbl>
    <w:p w14:paraId="1AAA676D"/>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E971967-57F4-46AB-9F06-956ED6C78F5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982FA97-A301-4BE3-8EC2-97D69900B9CA}"/>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3" w:fontKey="{07362B4F-DEC1-4BE2-9EAA-68C371418C3B}"/>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embedRegular r:id="rId4" w:fontKey="{22583696-310B-4EA0-AC81-C5474B36FCD7}"/>
  </w:font>
  <w:font w:name="方正公文小标宋">
    <w:panose1 w:val="02000500000000000000"/>
    <w:charset w:val="86"/>
    <w:family w:val="auto"/>
    <w:pitch w:val="default"/>
    <w:sig w:usb0="A00002BF" w:usb1="38CF7CFA" w:usb2="00000016" w:usb3="00000000" w:csb0="00040001" w:csb1="00000000"/>
    <w:embedRegular r:id="rId5" w:fontKey="{AA87B253-D93E-42F7-9D09-A54747634167}"/>
  </w:font>
  <w:font w:name="方正小标宋_GBK">
    <w:panose1 w:val="02000000000000000000"/>
    <w:charset w:val="86"/>
    <w:family w:val="auto"/>
    <w:pitch w:val="default"/>
    <w:sig w:usb0="A00002BF" w:usb1="38CF7CFA" w:usb2="00082016" w:usb3="00000000" w:csb0="00040001" w:csb1="00000000"/>
    <w:embedRegular r:id="rId6" w:fontKey="{006775BB-204C-4E79-9490-18641825226C}"/>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34568553"/>
    </w:sdtPr>
    <w:sdtContent>
      <w:sdt>
        <w:sdtPr>
          <w:id w:val="1728636285"/>
        </w:sdtPr>
        <w:sdtContent>
          <w:p w14:paraId="68E2FD2E">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15</w:t>
            </w:r>
            <w:r>
              <w:rPr>
                <w:b/>
                <w:bCs/>
                <w:sz w:val="24"/>
                <w:szCs w:val="24"/>
              </w:rPr>
              <w:fldChar w:fldCharType="end"/>
            </w:r>
          </w:p>
        </w:sdtContent>
      </w:sdt>
    </w:sdtContent>
  </w:sdt>
  <w:p w14:paraId="6717B4BC">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91DA4">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8C778C">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38C778C">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495352"/>
    <w:multiLevelType w:val="singleLevel"/>
    <w:tmpl w:val="98495352"/>
    <w:lvl w:ilvl="0" w:tentative="0">
      <w:start w:val="1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110FC"/>
    <w:rsid w:val="10D3688E"/>
    <w:rsid w:val="11970673"/>
    <w:rsid w:val="1E6B727F"/>
    <w:rsid w:val="27344CEA"/>
    <w:rsid w:val="28986EB5"/>
    <w:rsid w:val="3535491E"/>
    <w:rsid w:val="4BAB5215"/>
    <w:rsid w:val="511222EA"/>
    <w:rsid w:val="58D7045A"/>
    <w:rsid w:val="73502034"/>
    <w:rsid w:val="79B50E11"/>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b/>
      <w:bCs/>
      <w:kern w:val="36"/>
      <w:sz w:val="48"/>
      <w:szCs w:val="48"/>
    </w:rPr>
  </w:style>
  <w:style w:type="paragraph" w:styleId="3">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pPr>
      <w:tabs>
        <w:tab w:val="left" w:pos="720"/>
      </w:tabs>
      <w:spacing w:line="0" w:lineRule="atLeast"/>
    </w:pPr>
    <w:rPr>
      <w:sz w:val="28"/>
    </w:rPr>
  </w:style>
  <w:style w:type="paragraph" w:styleId="6">
    <w:name w:val="Body Text Indent"/>
    <w:basedOn w:val="1"/>
    <w:qFormat/>
    <w:uiPriority w:val="0"/>
    <w:pPr>
      <w:spacing w:after="120"/>
      <w:ind w:left="420" w:leftChars="200"/>
    </w:pPr>
  </w:style>
  <w:style w:type="paragraph" w:styleId="7">
    <w:name w:val="Body Text Indent 2"/>
    <w:basedOn w:val="1"/>
    <w:qFormat/>
    <w:uiPriority w:val="0"/>
    <w:pPr>
      <w:keepNext w:val="0"/>
      <w:keepLines w:val="0"/>
      <w:widowControl w:val="0"/>
      <w:suppressLineNumbers w:val="0"/>
      <w:spacing w:before="0" w:beforeAutospacing="0" w:after="0" w:afterAutospacing="0" w:line="400" w:lineRule="exact"/>
      <w:ind w:left="0" w:right="0" w:firstLine="475" w:firstLineChars="198"/>
      <w:jc w:val="both"/>
    </w:pPr>
    <w:rPr>
      <w:rFonts w:hint="eastAsia" w:ascii="宋体" w:hAnsi="宋体" w:eastAsia="宋体" w:cs="Times New Roman"/>
      <w:kern w:val="2"/>
      <w:sz w:val="24"/>
      <w:szCs w:val="24"/>
      <w:lang w:val="en-US" w:eastAsia="zh-CN" w:bidi="ar"/>
    </w:rPr>
  </w:style>
  <w:style w:type="paragraph" w:styleId="8">
    <w:name w:val="footer"/>
    <w:basedOn w:val="1"/>
    <w:qFormat/>
    <w:uiPriority w:val="0"/>
    <w:pPr>
      <w:tabs>
        <w:tab w:val="center" w:pos="4153"/>
        <w:tab w:val="right" w:pos="8306"/>
      </w:tabs>
      <w:snapToGrid w:val="0"/>
      <w:jc w:val="left"/>
    </w:pPr>
    <w:rPr>
      <w:sz w:val="18"/>
    </w:rPr>
  </w:style>
  <w:style w:type="paragraph" w:styleId="9">
    <w:name w:val="Normal (Web)"/>
    <w:basedOn w:val="1"/>
    <w:qFormat/>
    <w:uiPriority w:val="0"/>
    <w:pPr>
      <w:spacing w:beforeAutospacing="1" w:afterAutospacing="1"/>
      <w:jc w:val="left"/>
    </w:pPr>
    <w:rPr>
      <w:rFonts w:cs="Times New Roman" w:asciiTheme="minorHAnsi" w:hAnsiTheme="minorHAnsi" w:eastAsiaTheme="minorEastAsia"/>
      <w:kern w:val="0"/>
      <w:sz w:val="24"/>
      <w:szCs w:val="24"/>
    </w:rPr>
  </w:style>
  <w:style w:type="paragraph" w:styleId="10">
    <w:name w:val="Body Text First Indent"/>
    <w:basedOn w:val="5"/>
    <w:qFormat/>
    <w:uiPriority w:val="0"/>
    <w:pPr>
      <w:spacing w:beforeLines="50" w:afterLines="50" w:line="360" w:lineRule="auto"/>
      <w:ind w:firstLine="200" w:firstLineChars="200"/>
    </w:pPr>
    <w:rPr>
      <w:rFonts w:asciiTheme="minorHAnsi" w:hAnsiTheme="minorHAnsi" w:eastAsiaTheme="minorEastAsia" w:cstheme="minorBidi"/>
      <w:kern w:val="0"/>
      <w:sz w:val="30"/>
      <w:szCs w:val="20"/>
    </w:rPr>
  </w:style>
  <w:style w:type="paragraph" w:styleId="11">
    <w:name w:val="Body Text First Indent 2"/>
    <w:basedOn w:val="6"/>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标题 1 Char"/>
    <w:qFormat/>
    <w:locked/>
    <w:uiPriority w:val="99"/>
    <w:rPr>
      <w:rFonts w:ascii="Calibri" w:hAnsi="Calibri" w:cs="Calibri"/>
      <w:b/>
      <w:bCs/>
      <w:kern w:val="44"/>
      <w:sz w:val="44"/>
      <w:szCs w:val="44"/>
    </w:rPr>
  </w:style>
  <w:style w:type="paragraph" w:customStyle="1" w:styleId="16">
    <w:name w:val="纯文本1"/>
    <w:basedOn w:val="1"/>
    <w:qFormat/>
    <w:uiPriority w:val="0"/>
    <w:rPr>
      <w:rFonts w:ascii="宋体" w:hAnsi="Courier New" w:eastAsia="宋体" w:cs="Times New Roman"/>
      <w:szCs w:val="22"/>
    </w:rPr>
  </w:style>
  <w:style w:type="paragraph" w:customStyle="1" w:styleId="17">
    <w:name w:val="Char Char4 Char Char Char Char"/>
    <w:basedOn w:val="1"/>
    <w:qFormat/>
    <w:uiPriority w:val="0"/>
    <w:pPr>
      <w:spacing w:line="440" w:lineRule="atLeast"/>
      <w:ind w:firstLine="482" w:firstLineChars="200"/>
    </w:pPr>
    <w:rPr>
      <w:b/>
      <w:color w:val="000000"/>
      <w:sz w:val="24"/>
    </w:rPr>
  </w:style>
  <w:style w:type="paragraph" w:customStyle="1" w:styleId="18">
    <w:name w:val=" Char Char4 Char Char Char Char"/>
    <w:basedOn w:val="1"/>
    <w:qFormat/>
    <w:uiPriority w:val="0"/>
    <w:pPr>
      <w:spacing w:line="440" w:lineRule="atLeast"/>
      <w:ind w:firstLine="482" w:firstLineChars="200"/>
    </w:pPr>
    <w:rPr>
      <w:b/>
      <w:color w:val="00000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5672</Words>
  <Characters>5902</Characters>
  <Lines>0</Lines>
  <Paragraphs>0</Paragraphs>
  <TotalTime>2</TotalTime>
  <ScaleCrop>false</ScaleCrop>
  <LinksUpToDate>false</LinksUpToDate>
  <CharactersWithSpaces>6083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2024-11-26T03:04:00Z</dcterms:created>
  <dc:creator>lenovo</dc:creator>
  <cp:lastModifiedBy>邱阳阳</cp:lastModifiedBy>
  <dcterms:modified xsi:type="dcterms:W3CDTF">2026-07-22T10:16:59Z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052C56BAA3824F2582F5696CE2CA195F_12</vt:lpwstr>
  </property>
  <property fmtid="{D5CDD505-2E9C-101B-9397-08002B2CF9AE}" pid="4" name="KSOTemplateDocerSaveRecord">
    <vt:lpwstr>eyJoZGlkIjoiZmJhMDU0NzU1ZjBmMjE5ODU5ZGQ4ZTI4OWEwYWIxNjUiLCJ1c2VySWQiOiIyNjYzODAzOTMifQ==</vt:lpwstr>
  </property>
</Properties>
</file>