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版本号：KY2026-3-24020260722001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午餐食材采购项目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KY2026-3-240</w:t>
      </w:r>
      <w:r>
        <w:br/>
      </w:r>
      <w:r>
        <w:br/>
      </w:r>
      <w:r>
        <w:br/>
      </w:r>
    </w:p>
    <w:p>
      <w:pPr>
        <w:pStyle w:val="null3"/>
        <w:jc w:val="center"/>
        <w:outlineLvl w:val="2"/>
      </w:pPr>
      <w:r>
        <w:rPr>
          <w:rFonts w:ascii="仿宋_GB2312" w:hAnsi="仿宋_GB2312" w:cs="仿宋_GB2312" w:eastAsia="仿宋_GB2312"/>
          <w:sz w:val="28"/>
          <w:b/>
        </w:rPr>
        <w:t>西安市蓝田县三里镇文姬中学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西安市蓝田县三里镇文姬中学</w:t>
      </w:r>
      <w:r>
        <w:rPr>
          <w:rFonts w:ascii="仿宋_GB2312" w:hAnsi="仿宋_GB2312" w:cs="仿宋_GB2312" w:eastAsia="仿宋_GB2312"/>
        </w:rPr>
        <w:t>委托，拟对</w:t>
      </w:r>
      <w:r>
        <w:rPr>
          <w:rFonts w:ascii="仿宋_GB2312" w:hAnsi="仿宋_GB2312" w:cs="仿宋_GB2312" w:eastAsia="仿宋_GB2312"/>
        </w:rPr>
        <w:t>午餐食材采购项目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午餐食材采购项目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西安市蓝田县三里镇文姬中学午餐食材采购，具体以实际供应数量为准，进行据实结算。简要技术要求、用途：详见谈判文件第三章。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采购包1（午餐食材采购）：属于专门面向中小企业采购。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7、法定代表人证明书及法定代表人授权书：法定代表人证明书及法定代表人授权书。（法定代表人直接谈判只须提交法定代表人证明书）</w:t>
      </w:r>
    </w:p>
    <w:p>
      <w:pPr>
        <w:pStyle w:val="null3"/>
      </w:pPr>
      <w:r>
        <w:rPr>
          <w:rFonts w:ascii="仿宋_GB2312" w:hAnsi="仿宋_GB2312" w:cs="仿宋_GB2312" w:eastAsia="仿宋_GB2312"/>
        </w:rPr>
        <w:t>8、资质：供应商为制造商的须提供《食品生产许可证》，并提供其生产企业有效的《动物防疫条件合格证》；供应商为经销商的须提供本单位的《食品经营许可证》，并提供其生产企业有效的《动物防疫条件合格证》</w:t>
      </w:r>
    </w:p>
    <w:p>
      <w:pPr>
        <w:pStyle w:val="null3"/>
      </w:pPr>
      <w:r>
        <w:rPr>
          <w:rFonts w:ascii="仿宋_GB2312" w:hAnsi="仿宋_GB2312" w:cs="仿宋_GB2312" w:eastAsia="仿宋_GB2312"/>
        </w:rPr>
        <w:t>9、中小企业声明函：提供中小企业声明函（本项目为专门面向中、小、微型企业采购项目）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西安市蓝田县三里镇文姬中学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西安市蓝田县文姬路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029-82736081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预算金额向采购代理机构交纳成交服务费，交费金额参照国家计委颁布的《招标代理服务收费管理暂行办法》（计价格[2002]1980号）及发改办价格[2003]857号文件的规定标准下浮10%收取。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西安市蓝田县三里镇文姬中学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西安市蓝田县三里镇文姬中学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西安市蓝田县三里镇文姬中学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联系人：徐闫靖双、李瑞洁</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西安市蓝田县三里镇文姬中学午餐食材采购项目，具体以实际供应数量为准，进行据实结算。简要技术要求、用途：详见谈判文件。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午餐食材采购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标的名称：午餐食材采购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一、采购内容</w:t>
            </w:r>
          </w:p>
          <w:p>
            <w:pPr>
              <w:pStyle w:val="null3"/>
            </w:pPr>
            <w:r>
              <w:rPr>
                <w:rFonts w:ascii="仿宋_GB2312" w:hAnsi="仿宋_GB2312" w:cs="仿宋_GB2312" w:eastAsia="仿宋_GB2312"/>
                <w:sz w:val="21"/>
              </w:rPr>
              <w:t>具体以实际供应数量为准，进行据实结算。结算总金额不超过采购预算 1000000.00元。午餐原材料配送，天数约200天，人均执行2.8元的标准。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二、采购清单(采购内容包含但不限于以下清单内容)</w:t>
            </w:r>
          </w:p>
          <w:tbl>
            <w:tblPr>
              <w:tblInd w:type="dxa" w:w="120"/>
              <w:tblBorders>
                <w:top w:val="none" w:color="000000" w:sz="4"/>
                <w:left w:val="none" w:color="000000" w:sz="4"/>
                <w:bottom w:val="none" w:color="000000" w:sz="4"/>
                <w:right w:val="none" w:color="000000" w:sz="4"/>
                <w:insideH w:val="none"/>
                <w:insideV w:val="none"/>
              </w:tblBorders>
            </w:tblPr>
            <w:tblGrid>
              <w:gridCol w:w="264"/>
              <w:gridCol w:w="345"/>
              <w:gridCol w:w="1944"/>
            </w:tblGrid>
            <w:tr>
              <w:tc>
                <w:tcPr>
                  <w:tcW w:type="dxa" w:w="2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jc w:val="center"/>
                  </w:pPr>
                  <w:r>
                    <w:rPr>
                      <w:rFonts w:ascii="仿宋_GB2312" w:hAnsi="仿宋_GB2312" w:cs="仿宋_GB2312" w:eastAsia="仿宋_GB2312"/>
                      <w:sz w:val="21"/>
                    </w:rPr>
                    <w:t>序号</w:t>
                  </w:r>
                </w:p>
              </w:tc>
              <w:tc>
                <w:tcPr>
                  <w:tcW w:type="dxa" w:w="2289"/>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名称</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肉类</w:t>
                  </w:r>
                </w:p>
              </w:tc>
              <w:tc>
                <w:tcPr>
                  <w:tcW w:type="dxa" w:w="19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猪排骨，牛肉</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rFonts w:ascii="仿宋_GB2312" w:hAnsi="仿宋_GB2312" w:cs="仿宋_GB2312" w:eastAsia="仿宋_GB2312"/>
                      <w:sz w:val="21"/>
                    </w:rPr>
                    <w:t>蔬菜类</w:t>
                  </w:r>
                </w:p>
              </w:tc>
              <w:tc>
                <w:tcPr>
                  <w:tcW w:type="dxa" w:w="1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叶菜类、茄果类、瓜果类、根菜类、薯芋类、葱蒜类、水生菜类、芽苗类、香辛类、食用菌类等</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调料</w:t>
                  </w:r>
                </w:p>
              </w:tc>
              <w:tc>
                <w:tcPr>
                  <w:tcW w:type="dxa" w:w="1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5"/>
                    <w:jc w:val="center"/>
                  </w:pPr>
                  <w:r>
                    <w:rPr>
                      <w:rFonts w:ascii="仿宋_GB2312" w:hAnsi="仿宋_GB2312" w:cs="仿宋_GB2312" w:eastAsia="仿宋_GB2312"/>
                      <w:sz w:val="21"/>
                    </w:rPr>
                    <w:t>酱油、食盐、味精、食醋、豆瓣酱、淀粉制品、食糖、干辣椒、花椒、花椒面等</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干菜</w:t>
                  </w:r>
                </w:p>
              </w:tc>
              <w:tc>
                <w:tcPr>
                  <w:tcW w:type="dxa" w:w="1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干黄花菜、香菇、木耳、粉丝、腐竹等</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center"/>
                  </w:pPr>
                  <w:r>
                    <w:rPr>
                      <w:rFonts w:ascii="仿宋_GB2312" w:hAnsi="仿宋_GB2312" w:cs="仿宋_GB2312" w:eastAsia="仿宋_GB2312"/>
                      <w:sz w:val="21"/>
                    </w:rPr>
                    <w:t>水果类</w:t>
                  </w:r>
                </w:p>
              </w:tc>
              <w:tc>
                <w:tcPr>
                  <w:tcW w:type="dxa" w:w="1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苹果、梨、橘子、葡萄、香蕉等</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三、质量验收标准或规范</w:t>
            </w:r>
          </w:p>
          <w:tbl>
            <w:tblPr>
              <w:tblBorders>
                <w:top w:val="none" w:color="000000" w:sz="4"/>
                <w:left w:val="none" w:color="000000" w:sz="4"/>
                <w:bottom w:val="none" w:color="000000" w:sz="4"/>
                <w:right w:val="none" w:color="000000" w:sz="4"/>
                <w:insideH w:val="none"/>
                <w:insideV w:val="none"/>
              </w:tblBorders>
            </w:tblPr>
            <w:tblGrid>
              <w:gridCol w:w="113"/>
              <w:gridCol w:w="218"/>
              <w:gridCol w:w="2221"/>
            </w:tblGrid>
            <w:tr>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2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参数要求</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肉类</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一、品种：生鲜或冷鲜的牛肉。不接受配送任何预制产品。</w:t>
                  </w:r>
                </w:p>
                <w:p>
                  <w:pPr>
                    <w:pStyle w:val="null3"/>
                    <w:jc w:val="both"/>
                  </w:pPr>
                  <w:r>
                    <w:rPr>
                      <w:rFonts w:ascii="仿宋_GB2312" w:hAnsi="仿宋_GB2312" w:cs="仿宋_GB2312" w:eastAsia="仿宋_GB2312"/>
                      <w:sz w:val="21"/>
                    </w:rPr>
                    <w:t>二、配送肉类须符合现行国家标准或国家卫生、食品安全最新标准，所供肉类不得检出国务院食品安全委员会办公室《“瘦肉精”专项整治方案》(食安办(2011)14号)规定的“瘦肉精”品质目录，须符合国家最新标准规定，禁止提供注水肉类等，食品中兽药最大残留限量符合规定。</w:t>
                  </w:r>
                </w:p>
                <w:p>
                  <w:pPr>
                    <w:pStyle w:val="null3"/>
                    <w:jc w:val="both"/>
                  </w:pPr>
                  <w:r>
                    <w:rPr>
                      <w:rFonts w:ascii="仿宋_GB2312" w:hAnsi="仿宋_GB2312" w:cs="仿宋_GB2312" w:eastAsia="仿宋_GB2312"/>
                      <w:sz w:val="21"/>
                    </w:rPr>
                    <w:t>三、生鲜或冷鲜牛肉类：符合《GB 2707-2016食品安全国家标准鲜(冻)畜、禽产品》,必须为当天屠宰的新鲜整块肉类，整块新鲜肉、整块新鲜排骨。</w:t>
                  </w:r>
                </w:p>
                <w:p>
                  <w:pPr>
                    <w:pStyle w:val="null3"/>
                    <w:jc w:val="both"/>
                  </w:pPr>
                  <w:r>
                    <w:rPr>
                      <w:rFonts w:ascii="仿宋_GB2312" w:hAnsi="仿宋_GB2312" w:cs="仿宋_GB2312" w:eastAsia="仿宋_GB2312"/>
                      <w:sz w:val="21"/>
                    </w:rPr>
                    <w:t>牛肉：牛肉指未经冷却加工的，活牛经屠宰放血后，去毛(去皮)、头、蹄、尾和内脏的鲜胴体牛肉。</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蔬菜类</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一、质量要求：供应商所供货物必须保证新鲜，无腐烂、变质，农药残留须符合《食品安全国家标准食品中农药最大限残留限量》的规定。</w:t>
                  </w:r>
                </w:p>
                <w:p>
                  <w:pPr>
                    <w:pStyle w:val="null3"/>
                    <w:jc w:val="both"/>
                  </w:pPr>
                  <w:r>
                    <w:rPr>
                      <w:rFonts w:ascii="仿宋_GB2312" w:hAnsi="仿宋_GB2312" w:cs="仿宋_GB2312" w:eastAsia="仿宋_GB2312"/>
                      <w:sz w:val="21"/>
                    </w:rPr>
                    <w:t>二、从蔬菜色泽看，各种蔬菜都应具有本品种固有的颜色，有光泽，以此显示蔬菜的成熟度及鲜嫩程度；</w:t>
                  </w:r>
                </w:p>
                <w:p>
                  <w:pPr>
                    <w:pStyle w:val="null3"/>
                    <w:jc w:val="both"/>
                  </w:pPr>
                  <w:r>
                    <w:rPr>
                      <w:rFonts w:ascii="仿宋_GB2312" w:hAnsi="仿宋_GB2312" w:cs="仿宋_GB2312" w:eastAsia="仿宋_GB2312"/>
                      <w:sz w:val="21"/>
                    </w:rPr>
                    <w:t>从蔬菜气味看，蔬菜具有清馨、甘辛香、甜酸香等气味，可凭嗅觉识别不同品种的质量；</w:t>
                  </w:r>
                </w:p>
                <w:p>
                  <w:pPr>
                    <w:pStyle w:val="null3"/>
                    <w:jc w:val="both"/>
                  </w:pPr>
                  <w:r>
                    <w:rPr>
                      <w:rFonts w:ascii="仿宋_GB2312" w:hAnsi="仿宋_GB2312" w:cs="仿宋_GB2312" w:eastAsia="仿宋_GB2312"/>
                      <w:sz w:val="21"/>
                    </w:rPr>
                    <w:t>不允许有腐烂变质的亚硝酸盐味和其他异常气味；</w:t>
                  </w:r>
                </w:p>
                <w:p>
                  <w:pPr>
                    <w:pStyle w:val="null3"/>
                    <w:jc w:val="both"/>
                  </w:pPr>
                  <w:r>
                    <w:rPr>
                      <w:rFonts w:ascii="仿宋_GB2312" w:hAnsi="仿宋_GB2312" w:cs="仿宋_GB2312" w:eastAsia="仿宋_GB2312"/>
                      <w:sz w:val="21"/>
                    </w:rPr>
                    <w:t>从蔬菜滋味看，因品种不同而各异，蔬菜滋味甘淡、甜酸、清爽鲜美，少数具有辛酸、苦涩等特殊风味以刺激食欲，如失去本品种原有的滋味即为异常；</w:t>
                  </w:r>
                </w:p>
                <w:p>
                  <w:pPr>
                    <w:pStyle w:val="null3"/>
                    <w:jc w:val="both"/>
                  </w:pPr>
                  <w:r>
                    <w:rPr>
                      <w:rFonts w:ascii="仿宋_GB2312" w:hAnsi="仿宋_GB2312" w:cs="仿宋_GB2312" w:eastAsia="仿宋_GB2312"/>
                      <w:sz w:val="21"/>
                    </w:rPr>
                    <w:t>从蔬菜形态看，应尽量避免由于客观因素而造成的各种非正常、不新鲜的蔬菜，例如萎蔫、枯塌、损伤、病变、虫害侵蚀等引起的形态异常等。</w:t>
                  </w:r>
                </w:p>
                <w:p>
                  <w:pPr>
                    <w:pStyle w:val="null3"/>
                    <w:jc w:val="both"/>
                  </w:pPr>
                  <w:r>
                    <w:rPr>
                      <w:rFonts w:ascii="仿宋_GB2312" w:hAnsi="仿宋_GB2312" w:cs="仿宋_GB2312" w:eastAsia="仿宋_GB2312"/>
                      <w:sz w:val="21"/>
                    </w:rPr>
                    <w:t>三、叶菜类：生菜、白菜、通心菜、苋菜等绿叶菜类及大白菜、椰菜等普通叶菜。属同品种规格，肉质鲜嫩形态好，色泽正常，茎基部削平，无枯黄叶、病叶、泥土、明显机械伤和病虫害伤，无烧心焦边、腐烂等现象，无异味，结球叶菜要结球适度。</w:t>
                  </w:r>
                </w:p>
                <w:p>
                  <w:pPr>
                    <w:pStyle w:val="null3"/>
                    <w:jc w:val="both"/>
                  </w:pPr>
                  <w:r>
                    <w:rPr>
                      <w:rFonts w:ascii="仿宋_GB2312" w:hAnsi="仿宋_GB2312" w:cs="仿宋_GB2312" w:eastAsia="仿宋_GB2312"/>
                      <w:sz w:val="21"/>
                    </w:rPr>
                    <w:t>茄果类：西红柿、茄瓜、圆椒、尖椒等。属同一品种规格，果实整洁，成熟度适中，无裂果及空洞现象，茄果不能有裂蒂及果皮变硬现象，无腐烂、异味，无明显机械伤。瓜果类：黄瓜、冬瓜、丝瓜、苦瓜、南瓜、节瓜等。属同一品种规格，色泽一致，无疤点，无断裂，无腐烂、异味、明显机械伤，不带泥土。</w:t>
                  </w:r>
                </w:p>
                <w:p>
                  <w:pPr>
                    <w:pStyle w:val="null3"/>
                    <w:jc w:val="both"/>
                  </w:pPr>
                  <w:r>
                    <w:rPr>
                      <w:rFonts w:ascii="仿宋_GB2312" w:hAnsi="仿宋_GB2312" w:cs="仿宋_GB2312" w:eastAsia="仿宋_GB2312"/>
                      <w:sz w:val="21"/>
                    </w:rPr>
                    <w:t>根菜类：萝卜、胡萝卜等。属同一品种规格，皮细光滑，肉质脆嫩致密新鲜，无腐烂、裂痕、糠心、异味，不带泥沙，不带茎叶和须根。</w:t>
                  </w:r>
                </w:p>
                <w:p>
                  <w:pPr>
                    <w:pStyle w:val="null3"/>
                    <w:jc w:val="both"/>
                  </w:pPr>
                  <w:r>
                    <w:rPr>
                      <w:rFonts w:ascii="仿宋_GB2312" w:hAnsi="仿宋_GB2312" w:cs="仿宋_GB2312" w:eastAsia="仿宋_GB2312"/>
                      <w:sz w:val="21"/>
                    </w:rPr>
                    <w:t>薯芋类：马铃薯、芋、姜等。属同一品种规格，色泽一致，不带泥沙，不带须根、茎叶，不干瘪，无腐烂、异味、明显机械伤、病虫害斑，马铃薯无发芽，皮不变绿。</w:t>
                  </w:r>
                </w:p>
                <w:p>
                  <w:pPr>
                    <w:pStyle w:val="null3"/>
                    <w:jc w:val="both"/>
                  </w:pPr>
                  <w:r>
                    <w:rPr>
                      <w:rFonts w:ascii="仿宋_GB2312" w:hAnsi="仿宋_GB2312" w:cs="仿宋_GB2312" w:eastAsia="仿宋_GB2312"/>
                      <w:sz w:val="21"/>
                    </w:rPr>
                    <w:t>葱蒜类：葱、蒜、韭菜、洋葱等。属同一品种规格，允许葱、青蒜类保留干净须根，葱祟、韭菜不带老叶，蒜头、洋葱去根去枯叶，可食部分新鲜幼嫩，无腐烂、异味。</w:t>
                  </w:r>
                </w:p>
                <w:p>
                  <w:pPr>
                    <w:pStyle w:val="null3"/>
                    <w:jc w:val="both"/>
                  </w:pPr>
                  <w:r>
                    <w:rPr>
                      <w:rFonts w:ascii="仿宋_GB2312" w:hAnsi="仿宋_GB2312" w:cs="仿宋_GB2312" w:eastAsia="仿宋_GB2312"/>
                      <w:sz w:val="21"/>
                    </w:rPr>
                    <w:t>水生菜类：藕等。属同一品种规格，肉质嫩，成熟度适中，无腐烂、异味，无明显机械伤，不带泥土和杂质，不干瘪，茭白不黑心。</w:t>
                  </w:r>
                </w:p>
                <w:p>
                  <w:pPr>
                    <w:pStyle w:val="null3"/>
                    <w:jc w:val="both"/>
                  </w:pPr>
                  <w:r>
                    <w:rPr>
                      <w:rFonts w:ascii="仿宋_GB2312" w:hAnsi="仿宋_GB2312" w:cs="仿宋_GB2312" w:eastAsia="仿宋_GB2312"/>
                      <w:sz w:val="21"/>
                    </w:rPr>
                    <w:t>香辛类：西芹、芹菜、香菜等。属同一品种规格，肉质鲜嫩形态好，色泽正常，无枯黄叶、病叶、泥土、明显机械 伤和病虫害伤，无烧心焦边、腐烂等现象，具有该品种应有的味道。</w:t>
                  </w:r>
                </w:p>
                <w:p>
                  <w:pPr>
                    <w:pStyle w:val="null3"/>
                    <w:jc w:val="both"/>
                  </w:pPr>
                  <w:r>
                    <w:rPr>
                      <w:rFonts w:ascii="仿宋_GB2312" w:hAnsi="仿宋_GB2312" w:cs="仿宋_GB2312" w:eastAsia="仿宋_GB2312"/>
                      <w:sz w:val="21"/>
                    </w:rPr>
                    <w:t>四、以上所有蔬菜产品未包含的，若采购人有需求，新产品按照本项目的定价原则进行采购。</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调料</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一、质量要求：</w:t>
                  </w:r>
                </w:p>
                <w:p>
                  <w:pPr>
                    <w:pStyle w:val="null3"/>
                    <w:jc w:val="both"/>
                  </w:pPr>
                  <w:r>
                    <w:rPr>
                      <w:rFonts w:ascii="仿宋_GB2312" w:hAnsi="仿宋_GB2312" w:cs="仿宋_GB2312" w:eastAsia="仿宋_GB2312"/>
                      <w:sz w:val="21"/>
                    </w:rPr>
                    <w:t>需为预包装食品，外包装完好无破损，标签清晰完整(含生产日期、保质期、生产许可证号等),禁止采购散装调料或标签不全的产品(如无生产日期的食醋案例),</w:t>
                  </w:r>
                </w:p>
                <w:p>
                  <w:pPr>
                    <w:pStyle w:val="null3"/>
                    <w:jc w:val="both"/>
                  </w:pPr>
                  <w:r>
                    <w:rPr>
                      <w:rFonts w:ascii="仿宋_GB2312" w:hAnsi="仿宋_GB2312" w:cs="仿宋_GB2312" w:eastAsia="仿宋_GB2312"/>
                      <w:sz w:val="21"/>
                    </w:rPr>
                    <w:t>剩余保质期需≥标注保质期的1/2(长期保存)或2/3(短期保存)。</w:t>
                  </w:r>
                </w:p>
                <w:p>
                  <w:pPr>
                    <w:pStyle w:val="null3"/>
                    <w:jc w:val="both"/>
                  </w:pPr>
                  <w:r>
                    <w:rPr>
                      <w:rFonts w:ascii="仿宋_GB2312" w:hAnsi="仿宋_GB2312" w:cs="仿宋_GB2312" w:eastAsia="仿宋_GB2312"/>
                      <w:sz w:val="21"/>
                    </w:rPr>
                    <w:t>二、规格</w:t>
                  </w:r>
                </w:p>
                <w:p>
                  <w:pPr>
                    <w:pStyle w:val="null3"/>
                    <w:jc w:val="both"/>
                  </w:pPr>
                  <w:r>
                    <w:rPr>
                      <w:rFonts w:ascii="仿宋_GB2312" w:hAnsi="仿宋_GB2312" w:cs="仿宋_GB2312" w:eastAsia="仿宋_GB2312"/>
                      <w:sz w:val="21"/>
                    </w:rPr>
                    <w:t>对于下表中未包含的产品，若采购人有需求，新产品按照本项目的定价原则进行采购。</w:t>
                  </w:r>
                </w:p>
                <w:tbl>
                  <w:tblPr>
                    <w:tblBorders>
                      <w:top w:val="none" w:color="000000" w:sz="4"/>
                      <w:left w:val="none" w:color="000000" w:sz="4"/>
                      <w:bottom w:val="none" w:color="000000" w:sz="4"/>
                      <w:right w:val="none" w:color="000000" w:sz="4"/>
                      <w:insideH w:val="none"/>
                      <w:insideV w:val="none"/>
                    </w:tblBorders>
                  </w:tblPr>
                  <w:tblGrid>
                    <w:gridCol w:w="668"/>
                    <w:gridCol w:w="668"/>
                    <w:gridCol w:w="668"/>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品名</w:t>
                        </w:r>
                      </w:p>
                    </w:tc>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p>
                    </w:tc>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酱油</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瓶装</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ml</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食盐</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味精</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食醋</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瓶装</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ml</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豆瓣</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kg</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淀粉制品</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食糖</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干辣椒</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散装</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kg</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花椒</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kg</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花椒面</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kg</w:t>
                        </w:r>
                      </w:p>
                    </w:tc>
                  </w:tr>
                </w:tbl>
                <w:p>
                  <w:pPr>
                    <w:pStyle w:val="null3"/>
                    <w:jc w:val="both"/>
                  </w:p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干菜</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(一)不得含有二氧化硫和非法使用添加剂：重金属元素、农药残留不得超标，须无感官异常。必须符合国家《中华人民共和国食品安全法》和国务院《关于加强食品安全监督管理的特别规定》。</w:t>
                  </w:r>
                </w:p>
                <w:p>
                  <w:pPr>
                    <w:pStyle w:val="null3"/>
                    <w:jc w:val="both"/>
                  </w:pPr>
                  <w:r>
                    <w:rPr>
                      <w:rFonts w:ascii="仿宋_GB2312" w:hAnsi="仿宋_GB2312" w:cs="仿宋_GB2312" w:eastAsia="仿宋_GB2312"/>
                      <w:sz w:val="21"/>
                    </w:rPr>
                    <w:t>(二)食品原料必须符合国家最新质量、卫生、安全标准或行业质量要求：定型包装类食品原料必须符合食品安全国家标准要求，商品的包装须符合国家和行业的有关规定，具备产品合格证，不变质，不过期(送达学校在保质期内，且距生产日期必须在2个月内)。配送时产品包装袋无破损，包装上注明产品名称、对原材料产地、用途、使用方法、规格、质量等级、配料表、净含量、厂名、厂址、联系方式、生产日期、保质期、产品标准代号、生产许可证编号等商品使用属性密切相关的内容须有清晰的标识。</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水果类</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选择应季水果。如苹果、香蕉、梨、葡萄等，提供丰富的维生素和矿物质。</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四、服务要求</w:t>
            </w:r>
          </w:p>
          <w:p>
            <w:pPr>
              <w:pStyle w:val="null3"/>
            </w:pPr>
            <w:r>
              <w:rPr>
                <w:rFonts w:ascii="仿宋_GB2312" w:hAnsi="仿宋_GB2312" w:cs="仿宋_GB2312" w:eastAsia="仿宋_GB2312"/>
                <w:sz w:val="21"/>
              </w:rPr>
              <w:t>(1)成交供应商必须自行提供配送服务，不得将配送工作进行任何方式的转包或分包。</w:t>
            </w:r>
          </w:p>
          <w:p>
            <w:pPr>
              <w:pStyle w:val="null3"/>
            </w:pPr>
            <w:r>
              <w:rPr>
                <w:rFonts w:ascii="仿宋_GB2312" w:hAnsi="仿宋_GB2312" w:cs="仿宋_GB2312" w:eastAsia="仿宋_GB2312"/>
                <w:sz w:val="21"/>
              </w:rPr>
              <w:t>(2)成交供应商运送产品的车辆应为专用封闭式，车辆内部结构应平整、便于清洁，肉类必须具有相关的配送设备(冷藏车)。</w:t>
            </w:r>
          </w:p>
          <w:p>
            <w:pPr>
              <w:pStyle w:val="null3"/>
            </w:pPr>
            <w:r>
              <w:rPr>
                <w:rFonts w:ascii="仿宋_GB2312" w:hAnsi="仿宋_GB2312" w:cs="仿宋_GB2312" w:eastAsia="仿宋_GB2312"/>
                <w:sz w:val="21"/>
              </w:rPr>
              <w:t>(3)成交供应商应做好食品安全的保障工作：</w:t>
            </w:r>
          </w:p>
          <w:p>
            <w:pPr>
              <w:pStyle w:val="null3"/>
            </w:pPr>
            <w:r>
              <w:rPr>
                <w:rFonts w:ascii="仿宋_GB2312" w:hAnsi="仿宋_GB2312" w:cs="仿宋_GB2312" w:eastAsia="仿宋_GB2312"/>
                <w:sz w:val="21"/>
              </w:rPr>
              <w:t>①成交供应商必须按参与联合采购的各学校所需订单配送，按规定时间送达学校。</w:t>
            </w:r>
          </w:p>
          <w:p>
            <w:pPr>
              <w:pStyle w:val="null3"/>
            </w:pPr>
            <w:r>
              <w:rPr>
                <w:rFonts w:ascii="仿宋_GB2312" w:hAnsi="仿宋_GB2312" w:cs="仿宋_GB2312" w:eastAsia="仿宋_GB2312"/>
                <w:sz w:val="21"/>
              </w:rPr>
              <w:t>②成交供应商配套设置“学校食品配送专用车辆”,凭专用通行证进出学校。</w:t>
            </w:r>
          </w:p>
          <w:p>
            <w:pPr>
              <w:pStyle w:val="null3"/>
            </w:pPr>
            <w:r>
              <w:rPr>
                <w:rFonts w:ascii="仿宋_GB2312" w:hAnsi="仿宋_GB2312" w:cs="仿宋_GB2312" w:eastAsia="仿宋_GB2312"/>
                <w:sz w:val="21"/>
              </w:rPr>
              <w:t>③建立出入库台账。成交供应商对所供产品的食品安全负责，建立24小时监控体系。所有配送产品必须可溯源，在配送前必须由供应商进行查验，在出库前再次检查产品的有效期、包装等，若未按要求配送，一切后果由成交供应商承担。肉类留样冷冻保存不低于48小时，果蔬类、干杂调味品按采购人要求进行留样。</w:t>
            </w:r>
          </w:p>
          <w:p>
            <w:pPr>
              <w:pStyle w:val="null3"/>
            </w:pPr>
            <w:r>
              <w:rPr>
                <w:rFonts w:ascii="仿宋_GB2312" w:hAnsi="仿宋_GB2312" w:cs="仿宋_GB2312" w:eastAsia="仿宋_GB2312"/>
                <w:sz w:val="21"/>
              </w:rPr>
              <w:t>④配送车辆应符合相关卫生要求，做到每日清洗、消毒并做好消毒记录。配送工作人员必须在响应文件中提供三年内无犯罪和无吸毒史的承诺或者公安机关出具的相关证明，并提供疾控中心或者医疗卫生机构颁发的有效期内的健康合格证明。</w:t>
            </w:r>
          </w:p>
          <w:p>
            <w:pPr>
              <w:pStyle w:val="null3"/>
            </w:pPr>
            <w:r>
              <w:rPr>
                <w:rFonts w:ascii="仿宋_GB2312" w:hAnsi="仿宋_GB2312" w:cs="仿宋_GB2312" w:eastAsia="仿宋_GB2312"/>
                <w:sz w:val="21"/>
              </w:rPr>
              <w:t>⑤建立责任追究制度。相关部门将定期或不定期地深入学校食堂和成交供应商仓库，对食堂食品原材料配送工作进行督查。对学校违规进货、食堂管理不严，造成责任事故的，将严格追究学校相关负责人的责任。对成交供应商提供不合格产品或不按要求配送造成责任事故的将追究其法律责任。</w:t>
            </w:r>
          </w:p>
          <w:p>
            <w:pPr>
              <w:pStyle w:val="null3"/>
            </w:pPr>
            <w:r>
              <w:rPr>
                <w:rFonts w:ascii="仿宋_GB2312" w:hAnsi="仿宋_GB2312" w:cs="仿宋_GB2312" w:eastAsia="仿宋_GB2312"/>
                <w:sz w:val="21"/>
              </w:rPr>
              <w:t>⑥建立成交供应商退出机制。成交供应商应严格遵守《中华人民共和国食品安全法》等相关法律法规，有下列情况之一，立即取消成交供应商的供货资格，成交供应商承担由此造成的经济损失和法律责任：一是生产或配送《中华人民共和国食品安全法》等法律法规明令禁止的食品、食品添加剂和食品相关产品：二是发生食品质量安全事故的；三是所供食品超过保质期限的;四是所供食品与成交食品不相符的：五是转包他人的；六是连续三次不能按时供货(不可抗力因素除外);七是成交供应商存在严重安全隐患整改不到位等情况的(安全隐患以食药监部门下达的限期整改通知书为准);八是食品药品监管部门定期不定期对产品抽样检验结果不符合规定的。</w:t>
            </w:r>
          </w:p>
          <w:p>
            <w:pPr>
              <w:pStyle w:val="null3"/>
            </w:pPr>
            <w:r>
              <w:rPr>
                <w:rFonts w:ascii="仿宋_GB2312" w:hAnsi="仿宋_GB2312" w:cs="仿宋_GB2312" w:eastAsia="仿宋_GB2312"/>
                <w:sz w:val="21"/>
              </w:rPr>
              <w:t>⑦在服务期内，应严格按照学校要求的时间、地点完成食品和原辅材料配送服务。</w:t>
            </w:r>
          </w:p>
          <w:p>
            <w:pPr>
              <w:pStyle w:val="null3"/>
            </w:pPr>
            <w:r>
              <w:rPr>
                <w:rFonts w:ascii="仿宋_GB2312" w:hAnsi="仿宋_GB2312" w:cs="仿宋_GB2312" w:eastAsia="仿宋_GB2312"/>
                <w:sz w:val="21"/>
              </w:rPr>
              <w:t>（4）市场基准价的确定</w:t>
            </w:r>
          </w:p>
          <w:p>
            <w:pPr>
              <w:pStyle w:val="null3"/>
            </w:pPr>
            <w:r>
              <w:rPr>
                <w:rFonts w:ascii="仿宋_GB2312" w:hAnsi="仿宋_GB2312" w:cs="仿宋_GB2312" w:eastAsia="仿宋_GB2312"/>
                <w:sz w:val="21"/>
              </w:rPr>
              <w:t>①按照询价小组采用市场询价的方式确认的市场基准价格为准。询价次数不少于一月一次(具体时间由使用方与成交供应商协商)</w:t>
            </w:r>
          </w:p>
          <w:p>
            <w:pPr>
              <w:pStyle w:val="null3"/>
            </w:pPr>
            <w:r>
              <w:rPr>
                <w:rFonts w:ascii="仿宋_GB2312" w:hAnsi="仿宋_GB2312" w:cs="仿宋_GB2312" w:eastAsia="仿宋_GB2312"/>
                <w:sz w:val="21"/>
              </w:rPr>
              <w:t>②以采购人所在大中型超市中同品名、同规格、同品质的商品零售价询价结果 为准：同一商品需至少询得三家不同市场零售商的价格的平均价作为市场基准价。</w:t>
            </w:r>
          </w:p>
          <w:p>
            <w:pPr>
              <w:pStyle w:val="null3"/>
            </w:pPr>
            <w:r>
              <w:rPr>
                <w:rFonts w:ascii="仿宋_GB2312" w:hAnsi="仿宋_GB2312" w:cs="仿宋_GB2312" w:eastAsia="仿宋_GB2312"/>
                <w:sz w:val="21"/>
              </w:rPr>
              <w:t>③询价小组：由采购人、使用方、成交供应商代表共同组成。</w:t>
            </w:r>
            <w:r>
              <w:br/>
            </w:r>
            <w:r>
              <w:rPr>
                <w:rFonts w:ascii="仿宋_GB2312" w:hAnsi="仿宋_GB2312" w:cs="仿宋_GB2312" w:eastAsia="仿宋_GB2312"/>
                <w:sz w:val="21"/>
              </w:rPr>
              <w:t xml:space="preserve"> （5）市场价格波动处理</w:t>
            </w:r>
          </w:p>
          <w:p>
            <w:pPr>
              <w:pStyle w:val="null3"/>
            </w:pPr>
            <w:r>
              <w:rPr>
                <w:rFonts w:ascii="仿宋_GB2312" w:hAnsi="仿宋_GB2312" w:cs="仿宋_GB2312" w:eastAsia="仿宋_GB2312"/>
                <w:sz w:val="21"/>
              </w:rPr>
              <w:t>供应商所供商品的价格应兼顾西安市“菜篮子”工程和发改委发布的商品价格及当地当日商品价格(不得高于),可以随市场波动定价，同时满足招标时的下浮率承诺。</w:t>
            </w:r>
          </w:p>
          <w:p>
            <w:pPr>
              <w:pStyle w:val="null3"/>
            </w:pPr>
            <w:r>
              <w:rPr>
                <w:rFonts w:ascii="仿宋_GB2312" w:hAnsi="仿宋_GB2312" w:cs="仿宋_GB2312" w:eastAsia="仿宋_GB2312"/>
                <w:sz w:val="21"/>
              </w:rPr>
              <w:t>（6）产品包装要求</w:t>
            </w:r>
          </w:p>
          <w:p>
            <w:pPr>
              <w:pStyle w:val="null3"/>
            </w:pPr>
            <w:r>
              <w:rPr>
                <w:rFonts w:ascii="仿宋_GB2312" w:hAnsi="仿宋_GB2312" w:cs="仿宋_GB2312" w:eastAsia="仿宋_GB2312"/>
                <w:sz w:val="21"/>
              </w:rPr>
              <w:t>成交人提供的产品若涉及包装和运输的，须严格按照《商品包装政府采购需求标准(试行)》、《快递包装政府采购需求标准(试行)》 (财办库〔2020〕123 号)的要求进行产品及相关快递服务的包装。</w:t>
            </w:r>
          </w:p>
          <w:p>
            <w:pPr>
              <w:pStyle w:val="null3"/>
            </w:pPr>
            <w:r>
              <w:rPr>
                <w:rFonts w:ascii="仿宋_GB2312" w:hAnsi="仿宋_GB2312" w:cs="仿宋_GB2312" w:eastAsia="仿宋_GB2312"/>
                <w:sz w:val="21"/>
              </w:rPr>
              <w:t>（7）供应商所投肉类产品屠宰厂（场）须具有有效的动物防疫条件合格证，其中猪肉的屠宰厂（场）还须有国家行政主管部门颁发且在有效期内的生猪定点屠宰证（A 类及以上）（提供证书复印件）</w:t>
            </w:r>
          </w:p>
          <w:p>
            <w:pPr>
              <w:pStyle w:val="null3"/>
            </w:pPr>
            <w:r>
              <w:rPr>
                <w:rFonts w:ascii="仿宋_GB2312" w:hAnsi="仿宋_GB2312" w:cs="仿宋_GB2312" w:eastAsia="仿宋_GB2312"/>
                <w:sz w:val="21"/>
              </w:rPr>
              <w:t>（8）验收</w:t>
            </w:r>
          </w:p>
          <w:p>
            <w:pPr>
              <w:pStyle w:val="null3"/>
            </w:pPr>
            <w:r>
              <w:rPr>
                <w:rFonts w:ascii="仿宋_GB2312" w:hAnsi="仿宋_GB2312" w:cs="仿宋_GB2312" w:eastAsia="仿宋_GB2312"/>
                <w:sz w:val="21"/>
              </w:rPr>
              <w:t>①成交供应商每次供货须向使用单位提供“供货清单”;经验收合格后，由使 用单位在“供货清单”上签字。</w:t>
            </w:r>
          </w:p>
          <w:p>
            <w:pPr>
              <w:pStyle w:val="null3"/>
            </w:pPr>
            <w:r>
              <w:rPr>
                <w:rFonts w:ascii="仿宋_GB2312" w:hAnsi="仿宋_GB2312" w:cs="仿宋_GB2312" w:eastAsia="仿宋_GB2312"/>
                <w:sz w:val="21"/>
              </w:rPr>
              <w:t>②若供货验收时中出现质量问题或产品不新鲜采购人有权拒签供货单，拒收货 物，且在采购人规定的时间重新供货，对采购人造成损失由成交人承担。</w:t>
            </w:r>
          </w:p>
          <w:p>
            <w:pPr>
              <w:pStyle w:val="null3"/>
            </w:pPr>
            <w:r>
              <w:rPr>
                <w:rFonts w:ascii="仿宋_GB2312" w:hAnsi="仿宋_GB2312" w:cs="仿宋_GB2312" w:eastAsia="仿宋_GB2312"/>
                <w:sz w:val="21"/>
              </w:rPr>
              <w:t>③按照质量标准进行验收、根据产品品类情况供应商提供同批次的检验报告、 检疫证明以及合格证应随货同期到达。</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签订合同之日起约200天，具体实施时间以合同签订时间为准。成交供应商应在合同签订后7个日历日内安排人员与采购方就送货等工作进行安排。交货期：蔬菜类每天按照订货需求配送，其他类按照实际使用情况根据订货量进行配送。一般情况下接到采购方通知后1天内配送到位（提前一天通知）。紧急情况下接到采购方通知后1小时内配送到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每月实际配送数量为准，按月付款。结算价=实际配送数量×市场基准价格×(1-成交下浮率),采购人对所供货物的价格、数量、质量进行核实，经核实无误后在供货单上签字确认。本项目在不超过采购预算的基础上据实结算。 按照双方约定的时间据实结算，结算前，由中标人于每月月底与采购人就供应数量进行核对，无误后由成交人出具正式发票，否则，采购人有权拒绝付款，无需承担任何责任，且成交人不得以此为由拒绝履行协议义务，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 供应商未按合同要求提供货物质量不能满足技术要求，采购人有权终止合同，并对供方违约行为进行追究，同时按《中华人民共和国政府采购法》、《中华人民共和国民 法典》等有关规定进行处罚。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质保期：所有供货产品保质期不少于该产品质保期的2/3。所供产品须在保质期内进行售后、质保。</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（二）未按合同要求的提供产品或试剂耗材质量不能满足技术要求，西安市蓝田县三里镇文姬中学有权终止合同，甚至对供方违约行为进行追究。 （三）如有纠纷，双方友好协商解决，协商不成时可诉讼到甲方所在地人民法院解决。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2、采购文件中所有的商务要求均为实质性要求，供应商必须响应并满足。 3、本项目按照下浮率进行报价，其中肉类、蔬菜类、水果类下浮率不低于8%，调料、干菜下浮率不低于6%。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法定代表人证明书及法定代表人授权书</w:t>
            </w:r>
          </w:p>
        </w:tc>
        <w:tc>
          <w:tcPr>
            <w:tcW w:type="dxa" w:w="3322"/>
          </w:tcPr>
          <w:p>
            <w:pPr>
              <w:pStyle w:val="null3"/>
            </w:pPr>
            <w:r>
              <w:rPr>
                <w:rFonts w:ascii="仿宋_GB2312" w:hAnsi="仿宋_GB2312" w:cs="仿宋_GB2312" w:eastAsia="仿宋_GB2312"/>
              </w:rPr>
              <w:t>法定代表人证明书及法定代表人授权书。（法定代表人直接谈判只须提交法定代表人证明书）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供应商为制造商的须提供《食品生产许可证》，并提供其生产企业有效的《动物防疫条件合格证》；供应商为经销商的须提供本单位的《食品经营许可证》，并提供其生产企业有效的《动物防疫条件合格证》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报价明显低于其他实质性响应的供应商报价，有可能影响产品质量或者不能诚信履约的，谈判小组应当要求其在合理的时间内提供成本构成书面说明，并提交相关证明材料。书面说明应当按照国家财务会计制度的规定要求，逐项就供应商提供的货物、工程和服务的主营业务成本（应根据投标人企业类型予以区别）、税金及附加、销售费用、管理费用、财务费用等成本构成事项详细陈述。 2.供应商提交的相关说明和证明材料，应当加盖供应商（法定名称）电子印章，在谈判小组要求的时间内通过项目电子化交易系统进行提交，否则提交的相关证明材料无效。供应商不能证明其投标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w:t>
            </w:r>
          </w:p>
        </w:tc>
        <w:tc>
          <w:tcPr>
            <w:tcW w:type="dxa" w:w="1661"/>
          </w:tcPr>
          <w:p>
            <w:pPr>
              <w:pStyle w:val="null3"/>
            </w:pPr>
            <w:r>
              <w:rPr>
                <w:rFonts w:ascii="仿宋_GB2312" w:hAnsi="仿宋_GB2312" w:cs="仿宋_GB2312" w:eastAsia="仿宋_GB2312"/>
              </w:rPr>
              <w:t>响应文件封面 产品技术参数表 分项报价表.docx 商务应答表 标的清单 报价表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响应文件的有效期达到采购文件要求</w:t>
            </w:r>
          </w:p>
        </w:tc>
        <w:tc>
          <w:tcPr>
            <w:tcW w:type="dxa" w:w="3322"/>
          </w:tcPr>
          <w:p>
            <w:pPr>
              <w:pStyle w:val="null3"/>
            </w:pPr>
            <w:r>
              <w:rPr>
                <w:rFonts w:ascii="仿宋_GB2312" w:hAnsi="仿宋_GB2312" w:cs="仿宋_GB2312" w:eastAsia="仿宋_GB2312"/>
              </w:rPr>
              <w:t>响应文件的有效期达到采购文件要求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响应文件服务期、交货期、质保期、付款方式达到采购文件要求</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响应文件封面 产品技术参数表 分项报价表.docx 商务应答表 标的清单 报价表 响应函 其他说明.docx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