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版本号：CGZC-2026-031.1B120260616001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案件代理法律服务(二次)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CGZC-2026-031.1B1</w:t>
      </w:r>
      <w:r>
        <w:br/>
      </w:r>
      <w:r>
        <w:br/>
      </w:r>
      <w:r>
        <w:br/>
      </w:r>
    </w:p>
    <w:p>
      <w:pPr>
        <w:pStyle w:val="null3"/>
        <w:jc w:val="center"/>
        <w:outlineLvl w:val="2"/>
      </w:pPr>
      <w:r>
        <w:rPr>
          <w:rFonts w:ascii="仿宋_GB2312" w:hAnsi="仿宋_GB2312" w:cs="仿宋_GB2312" w:eastAsia="仿宋_GB2312"/>
          <w:sz w:val="28"/>
          <w:b/>
        </w:rPr>
        <w:t>西安浐灞国际港党群工作部</w:t>
      </w:r>
    </w:p>
    <w:p>
      <w:pPr>
        <w:pStyle w:val="null3"/>
        <w:jc w:val="center"/>
        <w:outlineLvl w:val="2"/>
      </w:pPr>
      <w:r>
        <w:rPr>
          <w:rFonts w:ascii="仿宋_GB2312" w:hAnsi="仿宋_GB2312" w:cs="仿宋_GB2312" w:eastAsia="仿宋_GB2312"/>
          <w:sz w:val="28"/>
          <w:b/>
        </w:rPr>
        <w:t>陕西蒿天项目管理有限公司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陕西蒿天项目管理有限公司</w:t>
      </w:r>
      <w:r>
        <w:rPr>
          <w:rFonts w:ascii="仿宋_GB2312" w:hAnsi="仿宋_GB2312" w:cs="仿宋_GB2312" w:eastAsia="仿宋_GB2312"/>
        </w:rPr>
        <w:t>（以下简称“代理机构”）受</w:t>
      </w:r>
      <w:r>
        <w:rPr>
          <w:rFonts w:ascii="仿宋_GB2312" w:hAnsi="仿宋_GB2312" w:cs="仿宋_GB2312" w:eastAsia="仿宋_GB2312"/>
        </w:rPr>
        <w:t>西安浐灞国际港党群工作部</w:t>
      </w:r>
      <w:r>
        <w:rPr>
          <w:rFonts w:ascii="仿宋_GB2312" w:hAnsi="仿宋_GB2312" w:cs="仿宋_GB2312" w:eastAsia="仿宋_GB2312"/>
        </w:rPr>
        <w:t>委托，拟对</w:t>
      </w:r>
      <w:r>
        <w:rPr>
          <w:rFonts w:ascii="仿宋_GB2312" w:hAnsi="仿宋_GB2312" w:cs="仿宋_GB2312" w:eastAsia="仿宋_GB2312"/>
        </w:rPr>
        <w:t>案件代理法律服务(二次)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CGZC-2026-031.1B1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案件代理法律服务(二次)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管委会及其下属部门（包括但不限于管委会各部门、各产业园、土地储备中心、受托管理机构等）在合同履行、行政管理、行政执法、信息公开、信访处理、人事管理等过程中发生的各类诉讼（包括但不限于民事诉讼、行政诉讼、国家赔偿诉讼）及行政复议案件，提供法律代理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2、执业许可：供应商须具备合法有效的律师事务所执业许可证；</w:t>
      </w:r>
    </w:p>
    <w:p>
      <w:pPr>
        <w:pStyle w:val="null3"/>
      </w:pPr>
      <w:r>
        <w:rPr>
          <w:rFonts w:ascii="仿宋_GB2312" w:hAnsi="仿宋_GB2312" w:cs="仿宋_GB2312" w:eastAsia="仿宋_GB2312"/>
        </w:rPr>
        <w:t>3、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4、联合体：本项目不接受联合体磋商；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西安浐灞国际港党群工作部</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029-88074568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陕西蒿天项目管理有限公司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西安市雁塔区含光路南段1号鹏豪苑1幢3单元1202室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尚顺谱、林锡之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029-81612268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马重霄</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029-83332439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西安浐灞国际港党群工作部</w:t>
      </w:r>
      <w:r>
        <w:rPr>
          <w:rFonts w:ascii="仿宋_GB2312" w:hAnsi="仿宋_GB2312" w:cs="仿宋_GB2312" w:eastAsia="仿宋_GB2312"/>
        </w:rPr>
        <w:t>和</w:t>
      </w:r>
      <w:r>
        <w:rPr>
          <w:rFonts w:ascii="仿宋_GB2312" w:hAnsi="仿宋_GB2312" w:cs="仿宋_GB2312" w:eastAsia="仿宋_GB2312"/>
        </w:rPr>
        <w:t>陕西蒿天项目管理有限公司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西安浐灞国际港党群工作部</w:t>
      </w:r>
      <w:r>
        <w:rPr>
          <w:rFonts w:ascii="仿宋_GB2312" w:hAnsi="仿宋_GB2312" w:cs="仿宋_GB2312" w:eastAsia="仿宋_GB2312"/>
        </w:rPr>
        <w:t>负责解释。除上述磋商文件内容，其他内容由</w:t>
      </w:r>
      <w:r>
        <w:rPr>
          <w:rFonts w:ascii="仿宋_GB2312" w:hAnsi="仿宋_GB2312" w:cs="仿宋_GB2312" w:eastAsia="仿宋_GB2312"/>
        </w:rPr>
        <w:t>陕西蒿天项目管理有限公司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西安浐灞国际港党群工作部</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陕西蒿天项目管理有限公司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符合国家、行业相关法律法规及采购人需求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联系人：尚顺谱、林锡之</w:t>
      </w:r>
    </w:p>
    <w:p>
      <w:pPr>
        <w:pStyle w:val="null3"/>
      </w:pPr>
      <w:r>
        <w:rPr>
          <w:rFonts w:ascii="仿宋_GB2312" w:hAnsi="仿宋_GB2312" w:cs="仿宋_GB2312" w:eastAsia="仿宋_GB2312"/>
        </w:rPr>
        <w:t>联系电话：029-81612268</w:t>
      </w:r>
    </w:p>
    <w:p>
      <w:pPr>
        <w:pStyle w:val="null3"/>
      </w:pPr>
      <w:r>
        <w:rPr>
          <w:rFonts w:ascii="仿宋_GB2312" w:hAnsi="仿宋_GB2312" w:cs="仿宋_GB2312" w:eastAsia="仿宋_GB2312"/>
        </w:rPr>
        <w:t>地址：西安市雁塔区含光路南段1号鹏豪苑1幢3单元1202室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管委会及其下属部门（包括但不限于管委会各部门、各产业园、土地储备中心、受托管理机构等）在合同履行、行政管理、行政执法、信息公开、信访处理、人事管理等过程中发生的各类诉讼（包括但不限于民事诉讼、行政诉讼、国家赔偿诉讼）及行政复议案件，提供法律代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案件代理法律服务</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标的名称：案件代理法律服务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一、项目要求</w:t>
            </w:r>
          </w:p>
          <w:p>
            <w:pPr>
              <w:pStyle w:val="null3"/>
            </w:pPr>
            <w:r>
              <w:rPr>
                <w:rFonts w:ascii="仿宋_GB2312" w:hAnsi="仿宋_GB2312" w:cs="仿宋_GB2312" w:eastAsia="仿宋_GB2312"/>
              </w:rPr>
              <w:t>1.服务地点：采购人指定地点。</w:t>
            </w:r>
          </w:p>
          <w:p>
            <w:pPr>
              <w:pStyle w:val="null3"/>
            </w:pPr>
            <w:r>
              <w:rPr>
                <w:rFonts w:ascii="仿宋_GB2312" w:hAnsi="仿宋_GB2312" w:cs="仿宋_GB2312" w:eastAsia="仿宋_GB2312"/>
              </w:rPr>
              <w:t>2.服务期：自合同签订之日起2年。</w:t>
            </w:r>
          </w:p>
          <w:p>
            <w:pPr>
              <w:pStyle w:val="null3"/>
            </w:pPr>
            <w:r>
              <w:rPr>
                <w:rFonts w:ascii="仿宋_GB2312" w:hAnsi="仿宋_GB2312" w:cs="仿宋_GB2312" w:eastAsia="仿宋_GB2312"/>
              </w:rPr>
              <w:t>3.成交供应商不得将项目转包或分包给第三方。</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二、服务内容</w:t>
            </w:r>
          </w:p>
          <w:p>
            <w:pPr>
              <w:pStyle w:val="null3"/>
            </w:pPr>
            <w:r>
              <w:rPr>
                <w:rFonts w:ascii="仿宋_GB2312" w:hAnsi="仿宋_GB2312" w:cs="仿宋_GB2312" w:eastAsia="仿宋_GB2312"/>
              </w:rPr>
              <w:t>（一）案件受理与评估。</w:t>
            </w:r>
          </w:p>
          <w:p>
            <w:pPr>
              <w:pStyle w:val="null3"/>
            </w:pPr>
            <w:r>
              <w:rPr>
                <w:rFonts w:ascii="仿宋_GB2312" w:hAnsi="仿宋_GB2312" w:cs="仿宋_GB2312" w:eastAsia="仿宋_GB2312"/>
              </w:rPr>
              <w:t>接收管委会及其下属部门移交的案件材料，进行初步法律分析与风险评估，出具书面案件受理评估意见。</w:t>
            </w:r>
          </w:p>
          <w:p>
            <w:pPr>
              <w:pStyle w:val="null3"/>
            </w:pPr>
            <w:r>
              <w:rPr>
                <w:rFonts w:ascii="仿宋_GB2312" w:hAnsi="仿宋_GB2312" w:cs="仿宋_GB2312" w:eastAsia="仿宋_GB2312"/>
              </w:rPr>
              <w:t>（二）制定代理策略。</w:t>
            </w:r>
          </w:p>
          <w:p>
            <w:pPr>
              <w:pStyle w:val="null3"/>
            </w:pPr>
            <w:r>
              <w:rPr>
                <w:rFonts w:ascii="仿宋_GB2312" w:hAnsi="仿宋_GB2312" w:cs="仿宋_GB2312" w:eastAsia="仿宋_GB2312"/>
              </w:rPr>
              <w:t>针对不同类型及复杂程度的案件，及时与管委会及其下属部门沟通，共同研究、制定最优的应诉/复议答辩或起诉/复议申请策略与方案。</w:t>
            </w:r>
          </w:p>
          <w:p>
            <w:pPr>
              <w:pStyle w:val="null3"/>
            </w:pPr>
            <w:r>
              <w:rPr>
                <w:rFonts w:ascii="仿宋_GB2312" w:hAnsi="仿宋_GB2312" w:cs="仿宋_GB2312" w:eastAsia="仿宋_GB2312"/>
              </w:rPr>
              <w:t>（三）文书起草与审查。</w:t>
            </w:r>
          </w:p>
          <w:p>
            <w:pPr>
              <w:pStyle w:val="null3"/>
            </w:pPr>
            <w:r>
              <w:rPr>
                <w:rFonts w:ascii="仿宋_GB2312" w:hAnsi="仿宋_GB2312" w:cs="仿宋_GB2312" w:eastAsia="仿宋_GB2312"/>
              </w:rPr>
              <w:t>代为起草起诉状、上诉状、再审申请书、行政复议申请书、答辩状、代理词、质证意见、证据目录等诉讼/复议法律文书。代为起草或审查管辖权异议申请、财产保全申请、证据保全申请、调查取证申请、延期审理/复议申请、撤诉申请、执行申请等程序性法律文书。对管委会及其下属部门自行起草的相关法律文书进行审查、修改和完善。</w:t>
            </w:r>
          </w:p>
          <w:p>
            <w:pPr>
              <w:pStyle w:val="null3"/>
            </w:pPr>
            <w:r>
              <w:rPr>
                <w:rFonts w:ascii="仿宋_GB2312" w:hAnsi="仿宋_GB2312" w:cs="仿宋_GB2312" w:eastAsia="仿宋_GB2312"/>
              </w:rPr>
              <w:t>（四）证据收集与整理。</w:t>
            </w:r>
          </w:p>
          <w:p>
            <w:pPr>
              <w:pStyle w:val="null3"/>
            </w:pPr>
            <w:r>
              <w:rPr>
                <w:rFonts w:ascii="仿宋_GB2312" w:hAnsi="仿宋_GB2312" w:cs="仿宋_GB2312" w:eastAsia="仿宋_GB2312"/>
              </w:rPr>
              <w:t>指导、协助采购方收集、整理、固定与案件相关的证据材料，分析对方证据并制定质证意见。必要时，依法申请调查令或进行证据保全。</w:t>
            </w:r>
          </w:p>
          <w:p>
            <w:pPr>
              <w:pStyle w:val="null3"/>
            </w:pPr>
            <w:r>
              <w:rPr>
                <w:rFonts w:ascii="仿宋_GB2312" w:hAnsi="仿宋_GB2312" w:cs="仿宋_GB2312" w:eastAsia="仿宋_GB2312"/>
              </w:rPr>
              <w:t>（五）出庭/出席代理。</w:t>
            </w:r>
          </w:p>
          <w:p>
            <w:pPr>
              <w:pStyle w:val="null3"/>
            </w:pPr>
            <w:r>
              <w:rPr>
                <w:rFonts w:ascii="仿宋_GB2312" w:hAnsi="仿宋_GB2312" w:cs="仿宋_GB2312" w:eastAsia="仿宋_GB2312"/>
              </w:rPr>
              <w:t>指派具备相应资质与经验的律师代表管委会及其下属部门参加各级人民法院（一审、二审、再审）、各级人民检察院（检察监督）、行政复议机关（包括但不限于行政复议部门、上级行政机关）的庭审、听证、调查、质证、调解/和解会议等。</w:t>
            </w:r>
          </w:p>
          <w:p>
            <w:pPr>
              <w:pStyle w:val="null3"/>
            </w:pPr>
            <w:r>
              <w:rPr>
                <w:rFonts w:ascii="仿宋_GB2312" w:hAnsi="仿宋_GB2312" w:cs="仿宋_GB2312" w:eastAsia="仿宋_GB2312"/>
              </w:rPr>
              <w:t>（六）沟通协调。</w:t>
            </w:r>
          </w:p>
          <w:p>
            <w:pPr>
              <w:pStyle w:val="null3"/>
            </w:pPr>
            <w:r>
              <w:rPr>
                <w:rFonts w:ascii="仿宋_GB2312" w:hAnsi="仿宋_GB2312" w:cs="仿宋_GB2312" w:eastAsia="仿宋_GB2312"/>
              </w:rPr>
              <w:t>就案件进展、关键节点、重大风险及时向管委会及其下属部门报告和沟通。根据采购方授权，与对方当事人、代理人、法院、检察院、复议机关等进行必要的沟通与协调。</w:t>
            </w:r>
          </w:p>
          <w:p>
            <w:pPr>
              <w:pStyle w:val="null3"/>
            </w:pPr>
            <w:r>
              <w:rPr>
                <w:rFonts w:ascii="仿宋_GB2312" w:hAnsi="仿宋_GB2312" w:cs="仿宋_GB2312" w:eastAsia="仿宋_GB2312"/>
              </w:rPr>
              <w:t>（七）风险提示与建议。</w:t>
            </w:r>
          </w:p>
          <w:p>
            <w:pPr>
              <w:pStyle w:val="null3"/>
            </w:pPr>
            <w:r>
              <w:rPr>
                <w:rFonts w:ascii="仿宋_GB2312" w:hAnsi="仿宋_GB2312" w:cs="仿宋_GB2312" w:eastAsia="仿宋_GB2312"/>
              </w:rPr>
              <w:t>在案件代理过程中，就案件走向、和解/调解的可能性及方案、判决/复议决定风险、对管委会及其下属部门后续工作的影响等提出专业法律意见与建议。</w:t>
            </w:r>
          </w:p>
          <w:p>
            <w:pPr>
              <w:pStyle w:val="null3"/>
            </w:pPr>
            <w:r>
              <w:rPr>
                <w:rFonts w:ascii="仿宋_GB2312" w:hAnsi="仿宋_GB2312" w:cs="仿宋_GB2312" w:eastAsia="仿宋_GB2312"/>
              </w:rPr>
              <w:t>（八）和解/调解谈判。</w:t>
            </w:r>
          </w:p>
          <w:p>
            <w:pPr>
              <w:pStyle w:val="null3"/>
            </w:pPr>
            <w:r>
              <w:rPr>
                <w:rFonts w:ascii="仿宋_GB2312" w:hAnsi="仿宋_GB2312" w:cs="仿宋_GB2312" w:eastAsia="仿宋_GB2312"/>
              </w:rPr>
              <w:t>在管委会及其下属部门授权范围内，代表或协助管委会及其下属部门参与和解、调解谈判，起草相关和解/调解协议。</w:t>
            </w:r>
          </w:p>
          <w:p>
            <w:pPr>
              <w:pStyle w:val="null3"/>
            </w:pPr>
            <w:r>
              <w:rPr>
                <w:rFonts w:ascii="仿宋_GB2312" w:hAnsi="仿宋_GB2312" w:cs="仿宋_GB2312" w:eastAsia="仿宋_GB2312"/>
              </w:rPr>
              <w:t>（九）案件执行跟进。</w:t>
            </w:r>
          </w:p>
          <w:p>
            <w:pPr>
              <w:pStyle w:val="null3"/>
            </w:pPr>
            <w:r>
              <w:rPr>
                <w:rFonts w:ascii="仿宋_GB2312" w:hAnsi="仿宋_GB2312" w:cs="仿宋_GB2312" w:eastAsia="仿宋_GB2312"/>
              </w:rPr>
              <w:t>对管委会及其下属部门胜诉的裁判文书/复议决定，提供执行程序法律咨询，协助起草强制执行申请书等。</w:t>
            </w:r>
          </w:p>
          <w:p>
            <w:pPr>
              <w:pStyle w:val="null3"/>
            </w:pPr>
            <w:r>
              <w:rPr>
                <w:rFonts w:ascii="仿宋_GB2312" w:hAnsi="仿宋_GB2312" w:cs="仿宋_GB2312" w:eastAsia="仿宋_GB2312"/>
              </w:rPr>
              <w:t>（十）其他约定的诉讼/复议相关的法律事务代理工作。</w:t>
            </w:r>
          </w:p>
          <w:p>
            <w:pPr>
              <w:pStyle w:val="null3"/>
            </w:pPr>
            <w:r>
              <w:rPr>
                <w:rFonts w:ascii="仿宋_GB2312" w:hAnsi="仿宋_GB2312" w:cs="仿宋_GB2312" w:eastAsia="仿宋_GB2312"/>
              </w:rPr>
              <w:t>确为疑难复杂、重大影响的复议或诉讼案件，另行协商计费，并另行签订《专项代理合同》。</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105" w:after="105"/>
              <w:jc w:val="both"/>
            </w:pPr>
            <w:r>
              <w:rPr>
                <w:rFonts w:ascii="仿宋_GB2312" w:hAnsi="仿宋_GB2312" w:cs="仿宋_GB2312" w:eastAsia="仿宋_GB2312"/>
              </w:rPr>
              <w:t>三、服务要求</w:t>
            </w:r>
          </w:p>
          <w:p>
            <w:pPr>
              <w:pStyle w:val="null3"/>
            </w:pPr>
            <w:r>
              <w:rPr>
                <w:rFonts w:ascii="仿宋_GB2312" w:hAnsi="仿宋_GB2312" w:cs="仿宋_GB2312" w:eastAsia="仿宋_GB2312"/>
              </w:rPr>
              <w:t>（一）团队配置</w:t>
            </w:r>
          </w:p>
          <w:p>
            <w:pPr>
              <w:pStyle w:val="null3"/>
            </w:pPr>
            <w:r>
              <w:rPr>
                <w:rFonts w:ascii="仿宋_GB2312" w:hAnsi="仿宋_GB2312" w:cs="仿宋_GB2312" w:eastAsia="仿宋_GB2312"/>
              </w:rPr>
              <w:t>1.供应商须组建专门的服务团队负责本项目，指定至少两名具有15年以上执业经验（特别擅长行政法或争议解决方向）的律师担任项目负责人。</w:t>
            </w:r>
          </w:p>
          <w:p>
            <w:pPr>
              <w:pStyle w:val="null3"/>
            </w:pPr>
            <w:r>
              <w:rPr>
                <w:rFonts w:ascii="仿宋_GB2312" w:hAnsi="仿宋_GB2312" w:cs="仿宋_GB2312" w:eastAsia="仿宋_GB2312"/>
              </w:rPr>
              <w:t>2.确保团队中有足够数量且经验丰富的律师（除项目负责律师外，至少2名具备8年以上执业经验并专注于诉讼/仲裁/复议业务）具体承办案件。</w:t>
            </w:r>
          </w:p>
          <w:p>
            <w:pPr>
              <w:pStyle w:val="null3"/>
            </w:pPr>
            <w:r>
              <w:rPr>
                <w:rFonts w:ascii="仿宋_GB2312" w:hAnsi="仿宋_GB2312" w:cs="仿宋_GB2312" w:eastAsia="仿宋_GB2312"/>
              </w:rPr>
              <w:t>3.团队中需配备能够熟练处理行政复议、行政诉讼、民商事诉讼、政府信息公开、劳动争议等常见类型案件的律师。</w:t>
            </w:r>
          </w:p>
          <w:p>
            <w:pPr>
              <w:pStyle w:val="null3"/>
            </w:pPr>
            <w:r>
              <w:rPr>
                <w:rFonts w:ascii="仿宋_GB2312" w:hAnsi="仿宋_GB2312" w:cs="仿宋_GB2312" w:eastAsia="仿宋_GB2312"/>
              </w:rPr>
              <w:t>4.所有指派的律师均须持有有效律师执业证且未被司法行政机关或律师协会处罚。</w:t>
            </w:r>
          </w:p>
          <w:p>
            <w:pPr>
              <w:pStyle w:val="null3"/>
            </w:pPr>
            <w:r>
              <w:rPr>
                <w:rFonts w:ascii="仿宋_GB2312" w:hAnsi="仿宋_GB2312" w:cs="仿宋_GB2312" w:eastAsia="仿宋_GB2312"/>
              </w:rPr>
              <w:t>（二）服务质量</w:t>
            </w:r>
          </w:p>
          <w:p>
            <w:pPr>
              <w:pStyle w:val="null3"/>
            </w:pPr>
            <w:r>
              <w:rPr>
                <w:rFonts w:ascii="仿宋_GB2312" w:hAnsi="仿宋_GB2312" w:cs="仿宋_GB2312" w:eastAsia="仿宋_GB2312"/>
              </w:rPr>
              <w:t>1.所有法律文书应逻辑清晰、论证严谨、格式规范、适用法律准确。</w:t>
            </w:r>
          </w:p>
          <w:p>
            <w:pPr>
              <w:pStyle w:val="null3"/>
            </w:pPr>
            <w:r>
              <w:rPr>
                <w:rFonts w:ascii="仿宋_GB2312" w:hAnsi="仿宋_GB2312" w:cs="仿宋_GB2312" w:eastAsia="仿宋_GB2312"/>
              </w:rPr>
              <w:t>2.开庭/听证准备充分，代理意见专业、有效。</w:t>
            </w:r>
          </w:p>
          <w:p>
            <w:pPr>
              <w:pStyle w:val="null3"/>
            </w:pPr>
            <w:r>
              <w:rPr>
                <w:rFonts w:ascii="仿宋_GB2312" w:hAnsi="仿宋_GB2312" w:cs="仿宋_GB2312" w:eastAsia="仿宋_GB2312"/>
              </w:rPr>
              <w:t>3.沟通及时、有效，使用采购方易于理解的语言。</w:t>
            </w:r>
          </w:p>
          <w:p>
            <w:pPr>
              <w:pStyle w:val="null3"/>
            </w:pPr>
            <w:r>
              <w:rPr>
                <w:rFonts w:ascii="仿宋_GB2312" w:hAnsi="仿宋_GB2312" w:cs="仿宋_GB2312" w:eastAsia="仿宋_GB2312"/>
              </w:rPr>
              <w:t>4.结案报告内容详实、分析透彻，具有建设性。</w:t>
            </w:r>
          </w:p>
          <w:p>
            <w:pPr>
              <w:pStyle w:val="null3"/>
            </w:pPr>
            <w:r>
              <w:rPr>
                <w:rFonts w:ascii="仿宋_GB2312" w:hAnsi="仿宋_GB2312" w:cs="仿宋_GB2312" w:eastAsia="仿宋_GB2312"/>
              </w:rPr>
              <w:t>（三）信息管理</w:t>
            </w:r>
          </w:p>
          <w:p>
            <w:pPr>
              <w:pStyle w:val="null3"/>
            </w:pPr>
            <w:r>
              <w:rPr>
                <w:rFonts w:ascii="仿宋_GB2312" w:hAnsi="仿宋_GB2312" w:cs="仿宋_GB2312" w:eastAsia="仿宋_GB2312"/>
              </w:rPr>
              <w:t>供应商应具备完善的案件管理系统，能有效追踪案件进度、管理文档、设置关键时间节点提醒并按要求与采购方共享必要信息（需符合保密要求）。</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四、其他要求</w:t>
            </w:r>
          </w:p>
          <w:p>
            <w:pPr>
              <w:pStyle w:val="null3"/>
            </w:pPr>
            <w:r>
              <w:rPr>
                <w:rFonts w:ascii="仿宋_GB2312" w:hAnsi="仿宋_GB2312" w:cs="仿宋_GB2312" w:eastAsia="仿宋_GB2312"/>
              </w:rPr>
              <w:t>（一）限价</w:t>
            </w:r>
          </w:p>
          <w:p>
            <w:pPr>
              <w:pStyle w:val="null3"/>
            </w:pPr>
            <w:r>
              <w:rPr>
                <w:rFonts w:ascii="仿宋_GB2312" w:hAnsi="仿宋_GB2312" w:cs="仿宋_GB2312" w:eastAsia="仿宋_GB2312"/>
              </w:rPr>
              <w:t>诉讼案件按照审理阶段报价，包括一审、二审、再审、检查监督、执行</w:t>
            </w:r>
          </w:p>
          <w:p>
            <w:pPr>
              <w:pStyle w:val="null3"/>
            </w:pPr>
            <w:r>
              <w:rPr>
                <w:rFonts w:ascii="仿宋_GB2312" w:hAnsi="仿宋_GB2312" w:cs="仿宋_GB2312" w:eastAsia="仿宋_GB2312"/>
              </w:rPr>
              <w:t>1.行政案件</w:t>
            </w:r>
          </w:p>
          <w:p>
            <w:pPr>
              <w:pStyle w:val="null3"/>
            </w:pPr>
            <w:r>
              <w:rPr>
                <w:rFonts w:ascii="仿宋_GB2312" w:hAnsi="仿宋_GB2312" w:cs="仿宋_GB2312" w:eastAsia="仿宋_GB2312"/>
              </w:rPr>
              <w:t>诉讼案件，8000元/阶段</w:t>
            </w:r>
          </w:p>
          <w:p>
            <w:pPr>
              <w:pStyle w:val="null3"/>
            </w:pPr>
            <w:r>
              <w:rPr>
                <w:rFonts w:ascii="仿宋_GB2312" w:hAnsi="仿宋_GB2312" w:cs="仿宋_GB2312" w:eastAsia="仿宋_GB2312"/>
              </w:rPr>
              <w:t>复议案件：8000元/案件</w:t>
            </w:r>
          </w:p>
          <w:p>
            <w:pPr>
              <w:pStyle w:val="null3"/>
            </w:pPr>
            <w:r>
              <w:rPr>
                <w:rFonts w:ascii="仿宋_GB2312" w:hAnsi="仿宋_GB2312" w:cs="仿宋_GB2312" w:eastAsia="仿宋_GB2312"/>
              </w:rPr>
              <w:t>2.民事诉讼案件限价：《西安市律师服务收费指导意见》（市律发〔2016〕7号）指导收费标准下限</w:t>
            </w:r>
          </w:p>
          <w:p>
            <w:pPr>
              <w:pStyle w:val="null3"/>
            </w:pPr>
            <w:r>
              <w:rPr>
                <w:rFonts w:ascii="仿宋_GB2312" w:hAnsi="仿宋_GB2312" w:cs="仿宋_GB2312" w:eastAsia="仿宋_GB2312"/>
              </w:rPr>
              <w:t>（二）保密要求</w:t>
            </w:r>
          </w:p>
          <w:p>
            <w:pPr>
              <w:pStyle w:val="null3"/>
            </w:pPr>
            <w:r>
              <w:rPr>
                <w:rFonts w:ascii="仿宋_GB2312" w:hAnsi="仿宋_GB2312" w:cs="仿宋_GB2312" w:eastAsia="仿宋_GB2312"/>
              </w:rPr>
              <w:t>供应商及其指派的律师、助理等所有参与人员，对在案件代理服务过程中接触、知悉的管委会及其下属部门及案件相关的任何未公开信息（包括但不限于案件事实、证据材料、内部决策过程、技术信息、商业秘密、个人信息等），均负有严格的保密义务。未经管委会及其下属部门书面明确授权，供应商不得向任何第三方泄露上述保密信息。供应商的保密义务延伸至其所有参与项目的员工、代理人及分包商（如有）。供应商须与之签订保密协议并确保其遵守。本保密义务在合同服务期满或提前终止后长期持续有效。</w:t>
            </w:r>
          </w:p>
          <w:p>
            <w:pPr>
              <w:pStyle w:val="null3"/>
            </w:pPr>
            <w:r>
              <w:rPr>
                <w:rFonts w:ascii="仿宋_GB2312" w:hAnsi="仿宋_GB2312" w:cs="仿宋_GB2312" w:eastAsia="仿宋_GB2312"/>
              </w:rPr>
              <w:t>（三）利益冲突回避</w:t>
            </w:r>
          </w:p>
          <w:p>
            <w:pPr>
              <w:pStyle w:val="null3"/>
            </w:pPr>
            <w:r>
              <w:rPr>
                <w:rFonts w:ascii="仿宋_GB2312" w:hAnsi="仿宋_GB2312" w:cs="仿宋_GB2312" w:eastAsia="仿宋_GB2312"/>
              </w:rPr>
              <w:t>供应商须在投标时及服务期内主动声明是否存在与采购人潜在利益冲突的情形（如正在代理或拟代理针对采购方或下属单位的诉讼/复议案件的对方当事人）。如存在或发生利益冲突，供应商须及时书面告知采购人，并按照采购人要求采取回避措施。</w:t>
            </w:r>
          </w:p>
          <w:p>
            <w:pPr>
              <w:pStyle w:val="null3"/>
            </w:pPr>
            <w:r>
              <w:rPr>
                <w:rFonts w:ascii="仿宋_GB2312" w:hAnsi="仿宋_GB2312" w:cs="仿宋_GB2312" w:eastAsia="仿宋_GB2312"/>
              </w:rPr>
              <w:t>（四）档案管理</w:t>
            </w:r>
          </w:p>
          <w:p>
            <w:pPr>
              <w:pStyle w:val="null3"/>
            </w:pPr>
            <w:r>
              <w:rPr>
                <w:rFonts w:ascii="仿宋_GB2312" w:hAnsi="仿宋_GB2312" w:cs="仿宋_GB2312" w:eastAsia="仿宋_GB2312"/>
              </w:rPr>
              <w:t>所有案件卷宗材料（包括原件、复印件、电子文档、工作记录等）在结案后应及时整理归档。供应商可保留复印件作为工作底稿，但应继续承担保密义务。供应商应积极配合采购方的工作安排和内部流程，指定专人负责日常对接，建立有效的沟通协调机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1.服务过程符合《中华人民共和国律师法》、《律师执业行为规范》等相关法律法规及行业规范。 2.案件代理策略有效，法律文书质量高，出庭/出席表现专业。 3.沟通及时顺畅，报告内容详实。 4.达到或超过行业同类服务标准。 5.采购方对服务的满意度评价。 6.以现行有效的法律法规、司法解释和部门规章作为案件办理和验收的基本标准。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进度款，合同签订后每半年支付一次，依据该半年内实际完成的案件据实结算。，达到付款条件起30个工作日内，支付合同总金额的25.0%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进度款，合同签订后每半年支付一次，依据该半年内实际完成的案件据实结算。，达到付款条件起30个工作日内，支付合同总金额的25.0%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进度款，合同签订后每半年支付一次，依据该半年内实际完成的案件据实结算。，达到付款条件起30个工作日内，支付合同总金额的25.0%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进度款，合同签订后每半年支付一次，依据该半年内实际完成的案件据实结算。，达到付款条件起30个工作日内，支付合同总金额的25.0%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违约责任：1.按《中华人民共和国民法典》中的相关条款执行。 2.未按合同要求提供服务或服务质量不能满足本次项目要求，甲方有权终止合同和对乙方违约行为进行追究，同时按有关规定进行相应的处罚。 3.乙方因履行本合同义务造成第三人财产或人身损害的，应当自行承担损害赔偿义务。因此给甲方财产造成损失的，乙方应当予以赔偿。 4.乙方及其员工在履行本协议过程中受到第三人伤害的，应当予由乙方自行负责。 5.甲乙双方应遵守合同并执行合同中的各项规定，保证合同的正常履行。 6.如碰到不可抗力因素造成无法按照原计划提供服务的，由甲乙双方协商解决。 解决争议的方法：甲、乙双方应本着友好合作、积极协商的态度，严格履行本协议，因不可预见的因素或本协议未尽事宜发生争议，由双方协商解决,协商不成时，甲、乙双方同意向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1.本项目非专门面向中小企业采购，符合竞争性磋商文件规定的小微企业、监狱企业、残疾人福利企业优惠条件的供应商，价格给予10%的扣除，用扣除后的磋商报价参与评审。 2.本项目属性为服务。 3.本项目合同包1采购标的所属行业为：租赁和商务服务业； 4.本项目是否属于信用担保试点范围：否。 5.磋商中出现下列情形之一的，磋商小组应当启动异常低价投标(响应)审查程序：（1）投标(响应)报价低于全部通过符合性审查供应商投标(响应)报价平均值50%的，即投标(响应)报价〈全部通过符合性审查供应商投标(响应)报价平均值X50%；（2）投标(响应)报价低于通过符合性审查的次低报价供应商投标(响应)报价50%的，即投标(响应)报价〈通过符合性审查的次低报价供应商投标(响应)报价X50%；（3）投标(响应)报价低于采购项目最高限价45%的，即投标(响应)报价&lt;采购项目最高限价X45%；（4）磋商小组基于专业判断，认为供应商报价过低，有可能影响产品质量或者不能诚信履约的其他情形。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磋商小组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磋商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2025年11月至今已缴纳的至少一个月的纳税证明或完税证明（任意税种），依法免税的单位应提供相关证明材料；3.提供2025年11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经审计的财务会计报告（成立时间至提交磋商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执业许可</w:t>
            </w:r>
          </w:p>
        </w:tc>
        <w:tc>
          <w:tcPr>
            <w:tcW w:type="dxa" w:w="3322"/>
          </w:tcPr>
          <w:p>
            <w:pPr>
              <w:pStyle w:val="null3"/>
            </w:pPr>
            <w:r>
              <w:rPr>
                <w:rFonts w:ascii="仿宋_GB2312" w:hAnsi="仿宋_GB2312" w:cs="仿宋_GB2312" w:eastAsia="仿宋_GB2312"/>
              </w:rPr>
              <w:t>供应商须具备合法有效的律师事务所执业许可证；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依据财库〔2026〕2号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中小企业声明函 报价表 磋商方案说明书.docx 资格证明文件.docx 其他说明.docx 响应文件封面 残疾人福利性单位声明函 标的清单 磋商分项报价表.docx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业绩.docx 中小企业声明函 报价表 磋商方案说明书.docx 资格证明文件.docx 其他说明.docx 响应文件封面 残疾人福利性单位声明函 标的清单 磋商分项报价表.docx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磋商分项报价表.docx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磋商方案说明书.docx 响应函 商务条款偏离表.docx 其他说明.docx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磋商方案说明书.docx 响应函 商务条款偏离表.docx 其他说明.docx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磋商方案说明书.docx 响应函 商务条款偏离表.docx 其他说明.docx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磋商方案说明书.docx 响应函 商务条款偏离表.docx 其他说明.docx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详细评审88.00分</w:t>
            </w:r>
          </w:p>
          <w:p>
            <w:pPr>
              <w:pStyle w:val="null3"/>
            </w:pPr>
            <w:r>
              <w:rPr>
                <w:rFonts w:ascii="仿宋_GB2312" w:hAnsi="仿宋_GB2312" w:cs="仿宋_GB2312" w:eastAsia="仿宋_GB2312"/>
              </w:rPr>
              <w:t>报价得分12.00分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针对本项目总体服务方案，包括但不限于：①法律服务的整体思路和目标；②法律服务流程和方式；③法律服务重难点分析及解决措施；④程序和建议等。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1.5分，每项评审内容每有一处缺陷扣0.5分，未提供得0分，满分18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针对本项目总体服务方案，包括但不限于：①质量保证措施；②服务保证措施；③进度保证措施；④服务质量自检及整改措施等。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12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内控管理制度</w:t>
            </w:r>
          </w:p>
        </w:tc>
        <w:tc>
          <w:tcPr>
            <w:tcW w:type="dxa" w:w="2492"/>
          </w:tcPr>
          <w:p>
            <w:pPr>
              <w:pStyle w:val="null3"/>
            </w:pPr>
            <w:r>
              <w:rPr>
                <w:rFonts w:ascii="仿宋_GB2312" w:hAnsi="仿宋_GB2312" w:cs="仿宋_GB2312" w:eastAsia="仿宋_GB2312"/>
              </w:rPr>
              <w:t>一、评审内容 针对本项目内控管理制度，包括但不限于：①项目责任制度；②案件讨论制度；③服务质量和风险防控制度；④服务回访制度等。 二、评审标准 1.完整性：方案须全面，对评审内容中的各项要求有详细描述及说明； 2.可实施性：切合本项目实际情况，实施步骤清晰、合理； 3.针对性：方案能够紧扣项目实际情况，内容科学合理。 三、赋分标准 完整性和可实施性评审内容，上述评审内容每完全满足一项评审标准得1分，每项评审内容每有一处缺陷扣0.5分；针对性评审内容，每完全满足一项评审标准得0.5分，上述评审内容每有一处缺陷扣0.2分；未提供得0分，满分10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具有研究生及以上学历，同时具备15年及以上工作经验，得5分；具有本科及以上学历，同时具备10年及以上工作经验，得3分；不提供不得分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项目团队人员（含项目负责人）20人及以上，且分工明确，全部具有律师执业资格证得10分； 项目团队人员20人以下，15人及以上，且分工明确，全部具有律师执业资格证得6分； 项目团队人员15人以下，10人及以上，且分工明确，全部具有律师执业资格证得4分； 项目团队人员10人以下不得分。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廉洁保密方案</w:t>
            </w:r>
          </w:p>
        </w:tc>
        <w:tc>
          <w:tcPr>
            <w:tcW w:type="dxa" w:w="2492"/>
          </w:tcPr>
          <w:p>
            <w:pPr>
              <w:pStyle w:val="null3"/>
            </w:pPr>
            <w:r>
              <w:rPr>
                <w:rFonts w:ascii="仿宋_GB2312" w:hAnsi="仿宋_GB2312" w:cs="仿宋_GB2312" w:eastAsia="仿宋_GB2312"/>
              </w:rPr>
              <w:t>针对本项目提供①保密组织机构及责任制健全；②保密宣传教育工作完备；③职业道德准则；④廉洁从业措施；每提供一项内容得2分，满分8分。不提供不得分。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针对本次服务过程中可能遇到的突发事件及分析，并提供针对突发事件的响应时间、对策，每提供一项合理详细有可行性的应急方案得2分，满分10分。不提供不得分。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对本项目服务工作中的常见问题进行梳理，具有良好的解决方案并及时向采购人提出合理化建议，每提供一条有效的建议得1分，满分5分。不提供不得分。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供应商2022年01月01日至今类似项目业绩，每提供1份得2分，最高得10分； 业绩证明（提供合同（协议）或中标（成交）通知书、法院裁判文书其中任意一项，须在磋商响应文件中附合同（协议）或中标（成交）通知书、法院裁判文书的扫描件加盖单位公章。）弄虚作假者，取消其中标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行政诉讼案件报价： 1.经初审合格的磋商响应文件，其磋商报价为有效磋商报价，对符合政策性扣减的供应商的有效磋商价格进行政策性扣减，并依据扣减后的价格（评审价格）进行价格评审。2.满足磋商文件实质性要求且最终报价最低的供应商的价格为磋商基准价，其价格分6分。3.磋商报价得分=（磋商基准价/最终磋商报价）×6的公式计算得分。4.磋商报价不完整的，不进入磋商基准价的计算，本项得0分。 行政复议案件报价： 1.经初审合格的磋商响应文件，其磋商报价为有效磋商报价，对符合政策性扣减的供应商的有效磋商价格进行政策性扣减，并依据扣减后的价格（评审价格）进行价格评审。2.满足磋商文件实质性要求且最终报价最低的供应商的价格为磋商基准价，其价格分2分。3.磋商报价得分=（磋商基准价/最终磋商报价）×2的公式计算得分。4.磋商报价不完整的，不进入磋商基准价的计算，本项得0分。 民事诉讼案件报价： 1.经初审合格的磋商响应文件，其民事诉讼案件下浮率为有效磋商报价。对符合政策性扣减的有效磋商报价进行政策性扣减，并依据扣减后的价格（评审价格）进行价格评审。 2.基准价=1-最高下浮率（有效最高下浮率为满分4分） 3.按（1-最高下浮率)/(1-有效下浮率）×4的公式计算其得分。 4.磋商报价不完整的，不进入评标基准价的计算，本项得0分。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详见附件：案件代理法律服务项目采购合同.docx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