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5F5A0">
      <w:pPr>
        <w:pStyle w:val="7"/>
        <w:jc w:val="center"/>
        <w:rPr>
          <w:rFonts w:cs="宋体" w:asciiTheme="minorEastAsia" w:hAnsiTheme="minorEastAsia" w:eastAsiaTheme="minorEastAsia"/>
          <w:b/>
          <w:bCs/>
          <w:szCs w:val="24"/>
          <w:highlight w:val="none"/>
        </w:rPr>
      </w:pPr>
      <w:r>
        <w:rPr>
          <w:rFonts w:hint="eastAsia" w:asciiTheme="minorEastAsia" w:hAnsiTheme="minorEastAsia" w:eastAsiaTheme="minorEastAsia"/>
          <w:b/>
          <w:sz w:val="28"/>
          <w:szCs w:val="24"/>
          <w:highlight w:val="none"/>
        </w:rPr>
        <w:t>磋商分项报价表</w:t>
      </w:r>
    </w:p>
    <w:p w14:paraId="697D9CE9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项目名称：</w:t>
      </w:r>
    </w:p>
    <w:p w14:paraId="2BAE2B6C">
      <w:pPr>
        <w:jc w:val="left"/>
        <w:rPr>
          <w:rFonts w:hAnsi="宋体"/>
          <w:bCs/>
          <w:szCs w:val="24"/>
          <w:highlight w:val="none"/>
        </w:rPr>
      </w:pPr>
      <w:r>
        <w:rPr>
          <w:rFonts w:hint="eastAsia" w:hAnsi="宋体"/>
          <w:bCs/>
          <w:szCs w:val="24"/>
          <w:highlight w:val="none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9"/>
        <w:gridCol w:w="3680"/>
        <w:gridCol w:w="2549"/>
        <w:gridCol w:w="1404"/>
      </w:tblGrid>
      <w:tr w14:paraId="07F1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9" w:hRule="atLeast"/>
          <w:jc w:val="center"/>
        </w:trPr>
        <w:tc>
          <w:tcPr>
            <w:tcW w:w="516" w:type="pct"/>
            <w:noWrap w:val="0"/>
            <w:vAlign w:val="center"/>
          </w:tcPr>
          <w:p w14:paraId="2B2F0252">
            <w:pPr>
              <w:pStyle w:val="4"/>
              <w:spacing w:line="460" w:lineRule="exact"/>
              <w:jc w:val="center"/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pacing w:val="-2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61" w:type="pct"/>
            <w:noWrap w:val="0"/>
            <w:vAlign w:val="center"/>
          </w:tcPr>
          <w:p w14:paraId="5CD467BF">
            <w:pPr>
              <w:pStyle w:val="4"/>
              <w:spacing w:line="460" w:lineRule="exact"/>
              <w:jc w:val="center"/>
              <w:rPr>
                <w:rFonts w:hint="default" w:hAnsi="宋体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497" w:type="pct"/>
            <w:noWrap w:val="0"/>
            <w:vAlign w:val="center"/>
          </w:tcPr>
          <w:p w14:paraId="6E6A69BF">
            <w:pPr>
              <w:pStyle w:val="4"/>
              <w:spacing w:line="460" w:lineRule="exact"/>
              <w:jc w:val="center"/>
              <w:rPr>
                <w:rFonts w:hint="eastAsia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</w:p>
        </w:tc>
        <w:tc>
          <w:tcPr>
            <w:tcW w:w="824" w:type="pct"/>
            <w:noWrap w:val="0"/>
            <w:vAlign w:val="center"/>
          </w:tcPr>
          <w:p w14:paraId="3E97905C">
            <w:pPr>
              <w:pStyle w:val="4"/>
              <w:spacing w:line="460" w:lineRule="exact"/>
              <w:jc w:val="center"/>
              <w:rPr>
                <w:rFonts w:hint="eastAsia" w:hAnsi="宋体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33C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2927486D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61" w:type="pct"/>
            <w:noWrap w:val="0"/>
            <w:vAlign w:val="center"/>
          </w:tcPr>
          <w:p w14:paraId="41BD40C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行政诉讼案件</w:t>
            </w:r>
          </w:p>
        </w:tc>
        <w:tc>
          <w:tcPr>
            <w:tcW w:w="1497" w:type="pct"/>
            <w:noWrap w:val="0"/>
            <w:vAlign w:val="center"/>
          </w:tcPr>
          <w:p w14:paraId="06151925">
            <w:pPr>
              <w:pStyle w:val="4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元/审判程序</w:t>
            </w:r>
          </w:p>
        </w:tc>
        <w:tc>
          <w:tcPr>
            <w:tcW w:w="824" w:type="pct"/>
            <w:noWrap w:val="0"/>
            <w:vAlign w:val="center"/>
          </w:tcPr>
          <w:p w14:paraId="56F9F185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5B3B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76C2B6CF">
            <w:pPr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2161" w:type="pct"/>
            <w:noWrap w:val="0"/>
            <w:vAlign w:val="center"/>
          </w:tcPr>
          <w:p w14:paraId="416BC76B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bCs/>
                <w:sz w:val="24"/>
                <w:szCs w:val="24"/>
                <w:highlight w:val="none"/>
                <w:lang w:val="en-US" w:eastAsia="zh-CN"/>
              </w:rPr>
              <w:t>行政复议案件</w:t>
            </w:r>
          </w:p>
        </w:tc>
        <w:tc>
          <w:tcPr>
            <w:tcW w:w="1497" w:type="pct"/>
            <w:noWrap w:val="0"/>
            <w:vAlign w:val="center"/>
          </w:tcPr>
          <w:p w14:paraId="50D78A00">
            <w:pPr>
              <w:pStyle w:val="4"/>
              <w:rPr>
                <w:rFonts w:hint="default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单价：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元/</w:t>
            </w:r>
            <w:r>
              <w:rPr>
                <w:rFonts w:hint="eastAsia" w:cs="宋体" w:asciiTheme="minorEastAsia" w:hAnsiTheme="minorEastAsia"/>
                <w:bCs/>
                <w:sz w:val="24"/>
                <w:szCs w:val="24"/>
                <w:highlight w:val="none"/>
                <w:lang w:val="en-US" w:eastAsia="zh-CN"/>
              </w:rPr>
              <w:t>案件</w:t>
            </w:r>
          </w:p>
        </w:tc>
        <w:tc>
          <w:tcPr>
            <w:tcW w:w="824" w:type="pct"/>
            <w:noWrap w:val="0"/>
            <w:vAlign w:val="center"/>
          </w:tcPr>
          <w:p w14:paraId="3AEC9984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  <w:tr w14:paraId="5F844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1" w:hRule="atLeast"/>
          <w:jc w:val="center"/>
        </w:trPr>
        <w:tc>
          <w:tcPr>
            <w:tcW w:w="516" w:type="pct"/>
            <w:noWrap w:val="0"/>
            <w:vAlign w:val="center"/>
          </w:tcPr>
          <w:p w14:paraId="68E4FDBE">
            <w:pPr>
              <w:jc w:val="center"/>
              <w:rPr>
                <w:rFonts w:hint="eastAsia" w:ascii="宋体" w:hAnsi="宋体" w:eastAsiaTheme="minorEastAsia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2161" w:type="pct"/>
            <w:noWrap w:val="0"/>
            <w:vAlign w:val="center"/>
          </w:tcPr>
          <w:p w14:paraId="38B2FED3">
            <w:pPr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val="en-US" w:eastAsia="zh-CN"/>
              </w:rPr>
              <w:t>民事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诉讼案件</w:t>
            </w:r>
          </w:p>
        </w:tc>
        <w:tc>
          <w:tcPr>
            <w:tcW w:w="1497" w:type="pct"/>
            <w:noWrap w:val="0"/>
            <w:vAlign w:val="center"/>
          </w:tcPr>
          <w:p w14:paraId="1A321CF5">
            <w:pPr>
              <w:pStyle w:val="4"/>
              <w:rPr>
                <w:rFonts w:hint="default" w:hAnsi="宋体" w:eastAsia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none"/>
                <w:lang w:val="en-US" w:eastAsia="zh-CN"/>
              </w:rPr>
              <w:t>下浮率：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%</w:t>
            </w:r>
          </w:p>
        </w:tc>
        <w:tc>
          <w:tcPr>
            <w:tcW w:w="824" w:type="pct"/>
            <w:noWrap w:val="0"/>
            <w:vAlign w:val="center"/>
          </w:tcPr>
          <w:p w14:paraId="6B69EDA6">
            <w:pPr>
              <w:pStyle w:val="4"/>
              <w:rPr>
                <w:rFonts w:hint="eastAsia" w:hAnsi="宋体"/>
                <w:color w:val="auto"/>
                <w:spacing w:val="-6"/>
                <w:sz w:val="24"/>
                <w:szCs w:val="24"/>
                <w:highlight w:val="none"/>
              </w:rPr>
            </w:pPr>
          </w:p>
        </w:tc>
      </w:tr>
    </w:tbl>
    <w:p w14:paraId="3FAB90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/>
          <w:color w:val="auto"/>
          <w:sz w:val="24"/>
          <w:highlight w:val="none"/>
        </w:rPr>
        <w:t>注：</w:t>
      </w:r>
      <w:r>
        <w:rPr>
          <w:rFonts w:hint="eastAsia" w:hAnsi="宋体" w:cs="Times New Roman"/>
          <w:color w:val="auto"/>
          <w:sz w:val="24"/>
          <w:highlight w:val="none"/>
          <w:lang w:val="en-US" w:eastAsia="zh-CN" w:bidi="ar-SA"/>
        </w:rPr>
        <w:t>1</w:t>
      </w: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.</w:t>
      </w:r>
      <w:r>
        <w:rPr>
          <w:rFonts w:hint="eastAsia" w:ascii="宋体" w:hAnsi="宋体"/>
          <w:color w:val="auto"/>
          <w:sz w:val="24"/>
          <w:highlight w:val="none"/>
        </w:rPr>
        <w:t>供应商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可</w:t>
      </w:r>
      <w:r>
        <w:rPr>
          <w:rFonts w:hint="eastAsia" w:ascii="宋体" w:hAnsi="宋体"/>
          <w:color w:val="auto"/>
          <w:sz w:val="24"/>
          <w:highlight w:val="none"/>
        </w:rPr>
        <w:t>根据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服务需求</w:t>
      </w:r>
      <w:r>
        <w:rPr>
          <w:rFonts w:hint="eastAsia" w:ascii="宋体" w:hAnsi="宋体"/>
          <w:color w:val="auto"/>
          <w:sz w:val="24"/>
          <w:highlight w:val="none"/>
        </w:rPr>
        <w:t>及要求自行</w:t>
      </w:r>
      <w:r>
        <w:rPr>
          <w:rFonts w:hint="eastAsia" w:ascii="宋体" w:hAnsi="宋体"/>
          <w:color w:val="auto"/>
          <w:sz w:val="24"/>
          <w:highlight w:val="none"/>
          <w:lang w:eastAsia="zh-CN"/>
        </w:rPr>
        <w:t>增加或细化表格内容。</w:t>
      </w:r>
    </w:p>
    <w:p w14:paraId="43830D7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hAnsi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color w:val="auto"/>
          <w:sz w:val="24"/>
          <w:highlight w:val="none"/>
          <w:lang w:val="en-US" w:eastAsia="zh-CN" w:bidi="ar-SA"/>
        </w:rPr>
        <w:t>2.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保留小数点后2位。</w:t>
      </w:r>
    </w:p>
    <w:p w14:paraId="0116676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hAnsi="宋体" w:eastAsia="宋体"/>
          <w:color w:val="auto"/>
          <w:sz w:val="24"/>
          <w:highlight w:val="none"/>
          <w:lang w:val="en-US" w:eastAsia="zh-CN"/>
        </w:rPr>
      </w:pPr>
      <w:r>
        <w:rPr>
          <w:rFonts w:hint="eastAsia" w:hAnsi="宋体"/>
          <w:color w:val="auto"/>
          <w:sz w:val="24"/>
          <w:highlight w:val="none"/>
          <w:lang w:val="en-US" w:eastAsia="zh-CN"/>
        </w:rPr>
        <w:t>3.民事</w:t>
      </w:r>
      <w:r>
        <w:rPr>
          <w:rFonts w:hint="eastAsia" w:ascii="宋体" w:hAnsi="宋体"/>
          <w:color w:val="auto"/>
          <w:sz w:val="24"/>
          <w:highlight w:val="none"/>
        </w:rPr>
        <w:t>诉讼案件</w:t>
      </w:r>
      <w:r>
        <w:rPr>
          <w:rFonts w:hint="eastAsia" w:hAnsi="宋体"/>
          <w:color w:val="auto"/>
          <w:sz w:val="24"/>
          <w:highlight w:val="none"/>
          <w:lang w:val="en-US" w:eastAsia="zh-CN"/>
        </w:rPr>
        <w:t>以</w:t>
      </w:r>
      <w:r>
        <w:rPr>
          <w:rFonts w:hint="eastAsia" w:cs="宋体" w:asciiTheme="minorEastAsia" w:hAnsiTheme="minorEastAsia"/>
          <w:b w:val="0"/>
          <w:bCs/>
          <w:sz w:val="24"/>
          <w:szCs w:val="24"/>
          <w:highlight w:val="none"/>
          <w:lang w:val="en-US" w:eastAsia="zh-CN"/>
        </w:rPr>
        <w:t>《西安市律师服务收费指导意见》指导收费标准下限为标准进行下浮。</w:t>
      </w:r>
    </w:p>
    <w:p w14:paraId="6BB579DC">
      <w:pPr>
        <w:numPr>
          <w:ilvl w:val="0"/>
          <w:numId w:val="0"/>
        </w:numPr>
        <w:rPr>
          <w:rFonts w:hint="eastAsia"/>
          <w:highlight w:val="none"/>
        </w:rPr>
      </w:pPr>
    </w:p>
    <w:p w14:paraId="1DA3C627">
      <w:pPr>
        <w:numPr>
          <w:ilvl w:val="0"/>
          <w:numId w:val="0"/>
        </w:numPr>
        <w:rPr>
          <w:rFonts w:hint="eastAsia"/>
          <w:highlight w:val="none"/>
        </w:rPr>
      </w:pPr>
    </w:p>
    <w:p w14:paraId="1FF0CC10">
      <w:pPr>
        <w:numPr>
          <w:ilvl w:val="0"/>
          <w:numId w:val="0"/>
        </w:numPr>
        <w:rPr>
          <w:highlight w:val="none"/>
          <w:u w:val="single"/>
        </w:rPr>
      </w:pPr>
      <w:r>
        <w:rPr>
          <w:rFonts w:hint="eastAsia"/>
          <w:highlight w:val="none"/>
        </w:rPr>
        <w:t>供应商名称：</w:t>
      </w:r>
      <w:r>
        <w:rPr>
          <w:rFonts w:hint="eastAsia"/>
          <w:highlight w:val="none"/>
          <w:u w:val="single"/>
        </w:rPr>
        <w:t xml:space="preserve">               </w:t>
      </w:r>
      <w:r>
        <w:rPr>
          <w:rFonts w:hint="eastAsia"/>
          <w:highlight w:val="none"/>
        </w:rPr>
        <w:t>（加盖单位公章）</w:t>
      </w:r>
    </w:p>
    <w:p w14:paraId="309A6214">
      <w:pPr>
        <w:rPr>
          <w:highlight w:val="none"/>
        </w:rPr>
      </w:pPr>
      <w:r>
        <w:rPr>
          <w:rFonts w:hint="eastAsia"/>
          <w:highlight w:val="none"/>
        </w:rPr>
        <w:t>法定代表人或被授权人：</w:t>
      </w:r>
      <w:r>
        <w:rPr>
          <w:rFonts w:hint="eastAsia"/>
          <w:highlight w:val="none"/>
          <w:u w:val="single"/>
        </w:rPr>
        <w:t xml:space="preserve">     </w:t>
      </w:r>
      <w:r>
        <w:rPr>
          <w:rFonts w:hint="eastAsia"/>
          <w:highlight w:val="none"/>
        </w:rPr>
        <w:t>（签字或盖章）</w:t>
      </w:r>
    </w:p>
    <w:p w14:paraId="542B83A0">
      <w:r>
        <w:rPr>
          <w:rFonts w:hint="eastAsia"/>
          <w:highlight w:val="none"/>
        </w:rPr>
        <w:t>日期：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年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月</w:t>
      </w:r>
      <w:r>
        <w:rPr>
          <w:rFonts w:hint="eastAsia"/>
          <w:highlight w:val="none"/>
          <w:u w:val="single"/>
        </w:rPr>
        <w:t xml:space="preserve">   </w:t>
      </w:r>
      <w:r>
        <w:rPr>
          <w:rFonts w:hint="eastAsia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B6E2A"/>
    <w:rsid w:val="287B6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styleId="4">
    <w:name w:val="Plain Text"/>
    <w:basedOn w:val="1"/>
    <w:next w:val="1"/>
    <w:qFormat/>
    <w:uiPriority w:val="0"/>
    <w:rPr>
      <w:rFonts w:ascii="宋体"/>
      <w:szCs w:val="20"/>
    </w:rPr>
  </w:style>
  <w:style w:type="paragraph" w:customStyle="1" w:styleId="7">
    <w:name w:val="正文11"/>
    <w:autoRedefine/>
    <w:qFormat/>
    <w:uiPriority w:val="0"/>
    <w:pPr>
      <w:widowControl w:val="0"/>
      <w:adjustRightInd w:val="0"/>
      <w:spacing w:line="315" w:lineRule="atLeast"/>
      <w:textAlignment w:val="baseline"/>
    </w:pPr>
    <w:rPr>
      <w:rFonts w:ascii="宋体" w:hAnsi="Times New Roman" w:eastAsia="宋体" w:cs="Times New Roman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2026-05-29T09:30:00Z</dcterms:created>
  <dc:creator>苍白假面</dc:creator>
  <cp:lastModifiedBy>苍白假面</cp:lastModifiedBy>
  <dcterms:modified xsi:type="dcterms:W3CDTF">2026-05-29T09:30:39Z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7585C919E55949E8808A7513EE2DBA7F_11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