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版本号：慧科ZX-CG01073BH20260618001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2026年陕西省西部计划培训出征物资采购项目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慧科ZX-CG01073BH</w:t>
      </w:r>
      <w:r>
        <w:br/>
      </w:r>
      <w:r>
        <w:br/>
      </w:r>
      <w:r>
        <w:br/>
      </w:r>
    </w:p>
    <w:p>
      <w:pPr>
        <w:pStyle w:val="null3"/>
        <w:jc w:val="center"/>
        <w:outlineLvl w:val="2"/>
      </w:pPr>
      <w:r>
        <w:rPr>
          <w:rFonts w:ascii="仿宋_GB2312" w:hAnsi="仿宋_GB2312" w:cs="仿宋_GB2312" w:eastAsia="仿宋_GB2312"/>
          <w:sz w:val="28"/>
          <w:b/>
        </w:rPr>
        <w:t>团省委机关</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团省委机关</w:t>
      </w:r>
      <w:r>
        <w:rPr>
          <w:rFonts w:ascii="仿宋_GB2312" w:hAnsi="仿宋_GB2312" w:cs="仿宋_GB2312" w:eastAsia="仿宋_GB2312"/>
        </w:rPr>
        <w:t>委托，拟对</w:t>
      </w:r>
      <w:r>
        <w:rPr>
          <w:rFonts w:ascii="仿宋_GB2312" w:hAnsi="仿宋_GB2312" w:cs="仿宋_GB2312" w:eastAsia="仿宋_GB2312"/>
        </w:rPr>
        <w:t>2026年陕西省西部计划培训出征物资采购项目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慧科ZX-CG01073BH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2026年陕西省西部计划培训出征物资采购项目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中国共产主义青年团陕西省委员会2026年陕西省西部计划培训出征物资采购项目，1批，具体内容详见采购文件第3章。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采购包1（2026年陕西省西部计划培训出征物资采购项目）：属于专门面向中小企业采购。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2、财务状况报告：供应商提供2024年度或2025年度经审计的财务报告或磋商截止时间前三个月内其基本开户银行出具的资信证明及账户开户许可证明材料或财政部门认可的政府采购专业担保机构开具的投标担保函。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5、专业技术能力的声明：提供具有履行本合同所必需的设备和专业技术能力的声明或承诺。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8、法定代表人授权委托书：法定代表人参加磋商的，须提供本人身份证复印件（附在响应文件中）；法定代表人授权他人参加磋商的，须提供法定代表人授权委托书。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团省委机关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陕西省西安市碑林区红缨路158号共青团陕西省委员会</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029-88422425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陕西省西安市雁塔区曲江文创中心双子座7号楼1单元17楼1702室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张一鸣、徐立科、宋霜晨、樊军辉、刘明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029-89192999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人依据采购预算向采购代理机构交纳招标代理服务费，供应商可将此费用考虑在磋商报价中，采购人不再单独支付。招标代理服务收费按代理服务费的金额参照国家发展计划委员会计价格[2002]1980号文件的规定标准计算，不足6000元按照6000元计。 2.成交供应商在取得成交通知书时，以转账或现金形式向采购代理机构缴付招标代理服务费，代理费缴纳账号如下： 开户名称：陕西慧科工程管理咨询有限公司 开户银行：交通银行股份有限公司西安光华路支行 账 号：611301135013001841428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团省委机关</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团省委机关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团省委机关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供应商需提供相关产品的技术资料，并承诺提供无限期支持，采购人享有使用权（含采购人委托第三方在该项目后续开发的使用权）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详⻅合同⽂本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联系人：张一鸣、徐立科</w:t>
      </w:r>
    </w:p>
    <w:p>
      <w:pPr>
        <w:pStyle w:val="null3"/>
      </w:pPr>
      <w:r>
        <w:rPr>
          <w:rFonts w:ascii="仿宋_GB2312" w:hAnsi="仿宋_GB2312" w:cs="仿宋_GB2312" w:eastAsia="仿宋_GB2312"/>
        </w:rPr>
        <w:t>联系电话：029-89192999</w:t>
      </w:r>
    </w:p>
    <w:p>
      <w:pPr>
        <w:pStyle w:val="null3"/>
      </w:pPr>
      <w:r>
        <w:rPr>
          <w:rFonts w:ascii="仿宋_GB2312" w:hAnsi="仿宋_GB2312" w:cs="仿宋_GB2312" w:eastAsia="仿宋_GB2312"/>
        </w:rPr>
        <w:t>地址：陕西省西安市雁塔区曲江文创中心双子座7号楼1单元17楼1702室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中国共产主义青年团陕西省委员会2026年陕西省西部计划培训出征物资采购项目，1批，具体内容详见采购文件第3章。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2026年陕西省西部计划培训出征物资采购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标的名称：2026年陕西省西部计划培训出征物资采购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01"/>
              <w:gridCol w:w="669"/>
              <w:gridCol w:w="517"/>
              <w:gridCol w:w="506"/>
              <w:gridCol w:w="290"/>
              <w:gridCol w:w="290"/>
            </w:tblGrid>
            <w:tr>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产品名称</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w:t>
                  </w:r>
                  <w:r>
                    <w:rPr>
                      <w:rFonts w:ascii="仿宋_GB2312" w:hAnsi="仿宋_GB2312" w:cs="仿宋_GB2312" w:eastAsia="仿宋_GB2312"/>
                      <w:sz w:val="21"/>
                      <w:color w:val="000000"/>
                    </w:rPr>
                    <w:t>质</w:t>
                  </w:r>
                </w:p>
              </w:tc>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规格型号</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w:t>
                  </w:r>
                  <w:r>
                    <w:rPr>
                      <w:rFonts w:ascii="仿宋_GB2312" w:hAnsi="仿宋_GB2312" w:cs="仿宋_GB2312" w:eastAsia="仿宋_GB2312"/>
                      <w:sz w:val="21"/>
                    </w:rPr>
                    <w:t xml:space="preserve">  </w:t>
                  </w:r>
                  <w:r>
                    <w:rPr>
                      <w:rFonts w:ascii="仿宋_GB2312" w:hAnsi="仿宋_GB2312" w:cs="仿宋_GB2312" w:eastAsia="仿宋_GB2312"/>
                      <w:sz w:val="21"/>
                      <w:color w:val="000000"/>
                    </w:rPr>
                    <w:t>量</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位</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短</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袖</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棉</w:t>
                  </w:r>
                  <w:r>
                    <w:rPr>
                      <w:rFonts w:ascii="仿宋_GB2312" w:hAnsi="仿宋_GB2312" w:cs="仿宋_GB2312" w:eastAsia="仿宋_GB2312"/>
                      <w:sz w:val="21"/>
                      <w:color w:val="000000"/>
                    </w:rPr>
                    <w:t>+涤纶</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成人</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br/>
                  </w:r>
                  <w:r>
                    <w:rPr>
                      <w:rFonts w:ascii="仿宋_GB2312" w:hAnsi="仿宋_GB2312" w:cs="仿宋_GB2312" w:eastAsia="仿宋_GB2312"/>
                      <w:sz w:val="21"/>
                      <w:color w:val="000000"/>
                    </w:rPr>
                    <w:t>短袖款式：</w:t>
                  </w:r>
                </w:p>
                <w:p>
                  <w:pPr>
                    <w:pStyle w:val="null3"/>
                    <w:jc w:val="both"/>
                  </w:pPr>
                  <w:r>
                    <w:drawing>
                      <wp:inline distT="0" distR="0" distB="0" distL="0">
                        <wp:extent cx="552450" cy="5524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552450" cy="552450"/>
                                </a:xfrm>
                                <a:prstGeom prst="rect">
                                  <a:avLst/>
                                </a:prstGeom>
                              </pic:spPr>
                            </pic:pic>
                          </a:graphicData>
                        </a:graphic>
                      </wp:inline>
                    </w:drawing>
                  </w:r>
                </w:p>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夏凉被</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棉</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150*200cm</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805</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双肩包</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涤纶</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43cm x 30cm x 12cm</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帽子</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涤纶</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成人</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出征装备（本子、笔、水杯、</w:t>
                  </w:r>
                  <w:r>
                    <w:rPr>
                      <w:rFonts w:ascii="仿宋_GB2312" w:hAnsi="仿宋_GB2312" w:cs="仿宋_GB2312" w:eastAsia="仿宋_GB2312"/>
                      <w:sz w:val="21"/>
                      <w:color w:val="000000"/>
                    </w:rPr>
                    <w:t>晴雨伞</w:t>
                  </w:r>
                  <w:r>
                    <w:rPr>
                      <w:rFonts w:ascii="仿宋_GB2312" w:hAnsi="仿宋_GB2312" w:cs="仿宋_GB2312" w:eastAsia="仿宋_GB2312"/>
                      <w:sz w:val="21"/>
                      <w:color w:val="000000"/>
                    </w:rPr>
                    <w:t>）</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双胶纸、</w:t>
                  </w:r>
                  <w:r>
                    <w:rPr>
                      <w:rFonts w:ascii="仿宋_GB2312" w:hAnsi="仿宋_GB2312" w:cs="仿宋_GB2312" w:eastAsia="仿宋_GB2312"/>
                      <w:sz w:val="21"/>
                      <w:color w:val="000000"/>
                    </w:rPr>
                    <w:t>按动圆珠笔、</w:t>
                  </w:r>
                  <w:r>
                    <w:rPr>
                      <w:rFonts w:ascii="仿宋_GB2312" w:hAnsi="仿宋_GB2312" w:cs="仿宋_GB2312" w:eastAsia="仿宋_GB2312"/>
                      <w:sz w:val="21"/>
                      <w:color w:val="000000"/>
                    </w:rPr>
                    <w:t>食品级</w:t>
                  </w:r>
                  <w:r>
                    <w:rPr>
                      <w:rFonts w:ascii="仿宋_GB2312" w:hAnsi="仿宋_GB2312" w:cs="仿宋_GB2312" w:eastAsia="仿宋_GB2312"/>
                      <w:sz w:val="21"/>
                      <w:color w:val="000000"/>
                    </w:rPr>
                    <w:t>PP材质、</w:t>
                  </w:r>
                  <w:r>
                    <w:rPr>
                      <w:rFonts w:ascii="仿宋_GB2312" w:hAnsi="仿宋_GB2312" w:cs="仿宋_GB2312" w:eastAsia="仿宋_GB2312"/>
                      <w:sz w:val="21"/>
                      <w:color w:val="000000"/>
                    </w:rPr>
                    <w:t>黑胶</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A5</w:t>
                  </w:r>
                  <w:r>
                    <w:br/>
                  </w:r>
                  <w:r>
                    <w:rPr>
                      <w:rFonts w:ascii="仿宋_GB2312" w:hAnsi="仿宋_GB2312" w:cs="仿宋_GB2312" w:eastAsia="仿宋_GB2312"/>
                      <w:sz w:val="22"/>
                      <w:color w:val="000000"/>
                    </w:rPr>
                    <w:t>15cm</w:t>
                  </w:r>
                  <w:r>
                    <w:br/>
                  </w:r>
                  <w:r>
                    <w:rPr>
                      <w:rFonts w:ascii="仿宋_GB2312" w:hAnsi="仿宋_GB2312" w:cs="仿宋_GB2312" w:eastAsia="仿宋_GB2312"/>
                      <w:sz w:val="22"/>
                      <w:color w:val="000000"/>
                    </w:rPr>
                    <w:t>500ml</w:t>
                  </w:r>
                  <w:r>
                    <w:br/>
                  </w:r>
                  <w:r>
                    <w:rPr>
                      <w:rFonts w:ascii="仿宋_GB2312" w:hAnsi="仿宋_GB2312" w:cs="仿宋_GB2312" w:eastAsia="仿宋_GB2312"/>
                      <w:sz w:val="22"/>
                      <w:color w:val="000000"/>
                    </w:rPr>
                    <w:t>26x6x6</w:t>
                  </w:r>
                  <w:r>
                    <w:rPr>
                      <w:rFonts w:ascii="仿宋_GB2312" w:hAnsi="仿宋_GB2312" w:cs="仿宋_GB2312" w:eastAsia="仿宋_GB2312"/>
                      <w:sz w:val="22"/>
                      <w:color w:val="000000"/>
                    </w:rPr>
                    <w:t>cm</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805</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出征旗帜</w:t>
                  </w:r>
                  <w:r>
                    <w:rPr>
                      <w:rFonts w:ascii="仿宋_GB2312" w:hAnsi="仿宋_GB2312" w:cs="仿宋_GB2312" w:eastAsia="仿宋_GB2312"/>
                      <w:sz w:val="21"/>
                      <w:color w:val="000000"/>
                    </w:rPr>
                    <w:t>+杆</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旗帜布</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2.4x1.6Hcm</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团徽</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铝合金</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2cmx2cm</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接站牌</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KT板+杆子</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r>
                    <w:rPr>
                      <w:rFonts w:ascii="仿宋_GB2312" w:hAnsi="仿宋_GB2312" w:cs="仿宋_GB2312" w:eastAsia="仿宋_GB2312"/>
                      <w:sz w:val="21"/>
                      <w:color w:val="000000"/>
                    </w:rPr>
                    <w:t>cm</w:t>
                  </w:r>
                  <w:r>
                    <w:rPr>
                      <w:rFonts w:ascii="仿宋_GB2312" w:hAnsi="仿宋_GB2312" w:cs="仿宋_GB2312" w:eastAsia="仿宋_GB2312"/>
                      <w:sz w:val="21"/>
                      <w:color w:val="000000"/>
                    </w:rPr>
                    <w:t>x60cm</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按动</w:t>
                  </w:r>
                  <w:r>
                    <w:rPr>
                      <w:rFonts w:ascii="仿宋_GB2312" w:hAnsi="仿宋_GB2312" w:cs="仿宋_GB2312" w:eastAsia="仿宋_GB2312"/>
                      <w:sz w:val="21"/>
                      <w:color w:val="000000"/>
                    </w:rPr>
                    <w:t>圆珠笔</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15cm</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工作证</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127克铜版纸</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r>
                    <w:rPr>
                      <w:rFonts w:ascii="仿宋_GB2312" w:hAnsi="仿宋_GB2312" w:cs="仿宋_GB2312" w:eastAsia="仿宋_GB2312"/>
                      <w:sz w:val="21"/>
                      <w:color w:val="000000"/>
                    </w:rPr>
                    <w:t>cm</w:t>
                  </w:r>
                  <w:r>
                    <w:rPr>
                      <w:rFonts w:ascii="仿宋_GB2312" w:hAnsi="仿宋_GB2312" w:cs="仿宋_GB2312" w:eastAsia="仿宋_GB2312"/>
                      <w:sz w:val="21"/>
                      <w:color w:val="000000"/>
                    </w:rPr>
                    <w:t>x10</w:t>
                  </w:r>
                  <w:r>
                    <w:rPr>
                      <w:rFonts w:ascii="仿宋_GB2312" w:hAnsi="仿宋_GB2312" w:cs="仿宋_GB2312" w:eastAsia="仿宋_GB2312"/>
                      <w:sz w:val="21"/>
                      <w:color w:val="000000"/>
                    </w:rPr>
                    <w:t>c</w:t>
                  </w:r>
                  <w:r>
                    <w:rPr>
                      <w:rFonts w:ascii="仿宋_GB2312" w:hAnsi="仿宋_GB2312" w:cs="仿宋_GB2312" w:eastAsia="仿宋_GB2312"/>
                      <w:sz w:val="21"/>
                      <w:color w:val="000000"/>
                    </w:rPr>
                    <w:t>m</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餐票</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无碳纸</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r>
                    <w:rPr>
                      <w:rFonts w:ascii="仿宋_GB2312" w:hAnsi="仿宋_GB2312" w:cs="仿宋_GB2312" w:eastAsia="仿宋_GB2312"/>
                      <w:sz w:val="21"/>
                      <w:color w:val="000000"/>
                    </w:rPr>
                    <w:t>cm</w:t>
                  </w:r>
                  <w:r>
                    <w:rPr>
                      <w:rFonts w:ascii="仿宋_GB2312" w:hAnsi="仿宋_GB2312" w:cs="仿宋_GB2312" w:eastAsia="仿宋_GB2312"/>
                      <w:sz w:val="21"/>
                      <w:color w:val="000000"/>
                    </w:rPr>
                    <w:t>x4.5cm</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防暑物资</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藿香正气水</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10ml</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队牌</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r>
                    <w:rPr>
                      <w:rFonts w:ascii="仿宋_GB2312" w:hAnsi="仿宋_GB2312" w:cs="仿宋_GB2312" w:eastAsia="仿宋_GB2312"/>
                      <w:sz w:val="21"/>
                      <w:color w:val="000000"/>
                    </w:rPr>
                    <w:t>cm</w:t>
                  </w:r>
                  <w:r>
                    <w:rPr>
                      <w:rFonts w:ascii="仿宋_GB2312" w:hAnsi="仿宋_GB2312" w:cs="仿宋_GB2312" w:eastAsia="仿宋_GB2312"/>
                      <w:sz w:val="21"/>
                      <w:color w:val="000000"/>
                    </w:rPr>
                    <w:t>x60cm</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记号笔</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r>
                    <w:rPr>
                      <w:rFonts w:ascii="仿宋_GB2312" w:hAnsi="仿宋_GB2312" w:cs="仿宋_GB2312" w:eastAsia="仿宋_GB2312"/>
                      <w:sz w:val="21"/>
                      <w:color w:val="000000"/>
                    </w:rPr>
                    <w:t>c</w:t>
                  </w:r>
                  <w:r>
                    <w:rPr>
                      <w:rFonts w:ascii="仿宋_GB2312" w:hAnsi="仿宋_GB2312" w:cs="仿宋_GB2312" w:eastAsia="仿宋_GB2312"/>
                      <w:sz w:val="21"/>
                      <w:color w:val="000000"/>
                    </w:rPr>
                    <w:t>m</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小国旗</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旗帜布</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r>
                    <w:rPr>
                      <w:rFonts w:ascii="仿宋_GB2312" w:hAnsi="仿宋_GB2312" w:cs="仿宋_GB2312" w:eastAsia="仿宋_GB2312"/>
                      <w:sz w:val="21"/>
                      <w:color w:val="000000"/>
                    </w:rPr>
                    <w:t>cm</w:t>
                  </w:r>
                  <w:r>
                    <w:rPr>
                      <w:rFonts w:ascii="仿宋_GB2312" w:hAnsi="仿宋_GB2312" w:cs="仿宋_GB2312" w:eastAsia="仿宋_GB2312"/>
                      <w:sz w:val="21"/>
                      <w:color w:val="000000"/>
                    </w:rPr>
                    <w:t>x21cm</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小党旗</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旗帜布</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r>
                    <w:rPr>
                      <w:rFonts w:ascii="仿宋_GB2312" w:hAnsi="仿宋_GB2312" w:cs="仿宋_GB2312" w:eastAsia="仿宋_GB2312"/>
                      <w:sz w:val="21"/>
                      <w:color w:val="000000"/>
                    </w:rPr>
                    <w:t>cm</w:t>
                  </w:r>
                  <w:r>
                    <w:rPr>
                      <w:rFonts w:ascii="仿宋_GB2312" w:hAnsi="仿宋_GB2312" w:cs="仿宋_GB2312" w:eastAsia="仿宋_GB2312"/>
                      <w:sz w:val="21"/>
                      <w:color w:val="000000"/>
                    </w:rPr>
                    <w:t>x21cm</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地标</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不干胶</w:t>
                  </w:r>
                  <w:r>
                    <w:rPr>
                      <w:rFonts w:ascii="仿宋_GB2312" w:hAnsi="仿宋_GB2312" w:cs="仿宋_GB2312" w:eastAsia="仿宋_GB2312"/>
                      <w:sz w:val="21"/>
                      <w:color w:val="000000"/>
                    </w:rPr>
                    <w:t>+异形圆</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50cmx50cm</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麦克风麦标</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不干胶</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5cmx5cm</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67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19"/>
                      <w:b/>
                    </w:rPr>
                    <w:t>本项目核心产品为</w:t>
                  </w:r>
                  <w:r>
                    <w:rPr>
                      <w:rFonts w:ascii="仿宋_GB2312" w:hAnsi="仿宋_GB2312" w:cs="仿宋_GB2312" w:eastAsia="仿宋_GB2312"/>
                      <w:sz w:val="19"/>
                      <w:b/>
                    </w:rPr>
                    <w:t>：</w:t>
                  </w:r>
                  <w:r>
                    <w:rPr>
                      <w:rFonts w:ascii="仿宋_GB2312" w:hAnsi="仿宋_GB2312" w:cs="仿宋_GB2312" w:eastAsia="仿宋_GB2312"/>
                      <w:sz w:val="19"/>
                      <w:b/>
                    </w:rPr>
                    <w:t>短袖</w:t>
                  </w:r>
                  <w:r>
                    <w:rPr>
                      <w:rFonts w:ascii="仿宋_GB2312" w:hAnsi="仿宋_GB2312" w:cs="仿宋_GB2312" w:eastAsia="仿宋_GB2312"/>
                      <w:sz w:val="19"/>
                      <w:b/>
                    </w:rPr>
                    <w:t>，</w:t>
                  </w:r>
                  <w:r>
                    <w:rPr>
                      <w:rFonts w:ascii="仿宋_GB2312" w:hAnsi="仿宋_GB2312" w:cs="仿宋_GB2312" w:eastAsia="仿宋_GB2312"/>
                      <w:sz w:val="19"/>
                      <w:b/>
                    </w:rPr>
                    <w:t>当供应商所投核心产品为同一品牌时，按照供应商须知前附表第</w:t>
                  </w:r>
                  <w:r>
                    <w:rPr>
                      <w:rFonts w:ascii="仿宋_GB2312" w:hAnsi="仿宋_GB2312" w:cs="仿宋_GB2312" w:eastAsia="仿宋_GB2312"/>
                      <w:sz w:val="19"/>
                      <w:b/>
                    </w:rPr>
                    <w:t>7条充分、公平竞争保障措施执行。</w:t>
                  </w:r>
                </w:p>
                <w:p>
                  <w:pPr>
                    <w:pStyle w:val="null3"/>
                    <w:ind w:firstLine="402"/>
                    <w:jc w:val="left"/>
                  </w:pPr>
                  <w:r>
                    <w:rPr>
                      <w:rFonts w:ascii="仿宋_GB2312" w:hAnsi="仿宋_GB2312" w:cs="仿宋_GB2312" w:eastAsia="仿宋_GB2312"/>
                      <w:sz w:val="19"/>
                      <w:b/>
                    </w:rPr>
                    <w:t>（一）样品的要求：供应商在参与磋商时应提供：短袖，被子，双肩包，本子，伞各一件（套）。</w:t>
                  </w:r>
                </w:p>
                <w:p>
                  <w:pPr>
                    <w:pStyle w:val="null3"/>
                    <w:ind w:firstLine="402"/>
                    <w:jc w:val="left"/>
                  </w:pPr>
                  <w:r>
                    <w:rPr>
                      <w:rFonts w:ascii="仿宋_GB2312" w:hAnsi="仿宋_GB2312" w:cs="仿宋_GB2312" w:eastAsia="仿宋_GB2312"/>
                      <w:sz w:val="19"/>
                      <w:b/>
                    </w:rPr>
                    <w:t>（二）样品的制作标准和要求：详见技术指标要求，各供应商提供样品的材料、样式必须与磋商文件的要求一致。</w:t>
                  </w:r>
                </w:p>
                <w:p>
                  <w:pPr>
                    <w:pStyle w:val="null3"/>
                    <w:ind w:firstLine="402"/>
                    <w:jc w:val="left"/>
                  </w:pPr>
                  <w:r>
                    <w:rPr>
                      <w:rFonts w:ascii="仿宋_GB2312" w:hAnsi="仿宋_GB2312" w:cs="仿宋_GB2312" w:eastAsia="仿宋_GB2312"/>
                      <w:sz w:val="19"/>
                      <w:b/>
                    </w:rPr>
                    <w:t>（三）样品提交方式：</w:t>
                  </w:r>
                </w:p>
                <w:p>
                  <w:pPr>
                    <w:pStyle w:val="null3"/>
                    <w:ind w:firstLine="402"/>
                    <w:jc w:val="left"/>
                  </w:pPr>
                  <w:r>
                    <w:rPr>
                      <w:rFonts w:ascii="仿宋_GB2312" w:hAnsi="仿宋_GB2312" w:cs="仿宋_GB2312" w:eastAsia="仿宋_GB2312"/>
                      <w:sz w:val="19"/>
                      <w:b/>
                    </w:rPr>
                    <w:t>1.递交样品截止时间：提交响应文件截止时间前递交至采购代理机构处，逾期未交的，视为放弃递交样品；递交地点：陕西省西安市雁塔区曲江文创中心双子座7号楼1单元17楼1702室陕西慧科工程管理咨询有限公司会议室，样品需密封并标明项目名称、供应商名称、样品递交清单等内容。</w:t>
                  </w:r>
                </w:p>
                <w:p>
                  <w:pPr>
                    <w:pStyle w:val="null3"/>
                    <w:ind w:firstLine="402"/>
                    <w:jc w:val="left"/>
                  </w:pPr>
                  <w:r>
                    <w:rPr>
                      <w:rFonts w:ascii="仿宋_GB2312" w:hAnsi="仿宋_GB2312" w:cs="仿宋_GB2312" w:eastAsia="仿宋_GB2312"/>
                      <w:sz w:val="19"/>
                      <w:b/>
                    </w:rPr>
                    <w:t>2.样品作为评审打分的依据，未按磋商文件要求提供样品或样品不全的，对应评审项不得分，但不影响其响应文件有效性。</w:t>
                  </w:r>
                </w:p>
                <w:p>
                  <w:pPr>
                    <w:pStyle w:val="null3"/>
                    <w:ind w:firstLine="402"/>
                    <w:jc w:val="left"/>
                  </w:pPr>
                  <w:r>
                    <w:rPr>
                      <w:rFonts w:ascii="仿宋_GB2312" w:hAnsi="仿宋_GB2312" w:cs="仿宋_GB2312" w:eastAsia="仿宋_GB2312"/>
                      <w:sz w:val="19"/>
                      <w:b/>
                    </w:rPr>
                    <w:t>3.样品在开标大会结束后统一封存；公示期结束后，退还未成交供应商单位提供的样品，成交供应商样品不予退还，采购人留存，成为合同内容的一部分，作为验收依据，如成交供应商所提供的产品与样品不一致时，采购人将予以追究该单位的违约责任和经济赔偿。</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2026年7月15日前交付。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中国共产主义青年团陕西省委员会指定地点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按照磋商⽂件、响应⽂件及合同要求执⾏</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进度款，全部产品到货验收合格后，成交供应商须在15个⼯作⽇内向采购⼈开具⾦额准确、内容真实、合法 有效的增值税专⽤发票。采购⼈在收到成交供应商提供的完整合规发票后60个⼯作⽇内，向成交供应商⼀次性⽀付合同全部 ⾦额。若成交供应商开具发票不符合采购⼈要求，采购⼈有权迟延付款，且不负任何违约责任，达到付款条件起60个工作日内，支付合同总金额的100.0%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按照磋商⽂件、响应⽂件及合同要求执⾏</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1、恶意质疑、投诉的法律后果 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2、中标人在领取中标（成交）通知书时提供纸质版投标（响应）文件两套，应通过专用制作软件直接打印，确保与电子投标文件保持一致，不允许修改和补充。 3、最终报价如出现异常低价，执行财库〔2026〕2号《关于推动解决政府采购异常低价问题的通知》，评标委员会可在最后报价审查表中审核是否通过审查。 八、采购人应按照招标文件和中标人投标文件，在中标通知书发出之日起25日内与中标人签订采购合同，并进行备案和公示。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分项报价表.docx 供应商应提交的相关资格证明材料.docx 中小企业声明函 残疾人福利性单位声明函 商务应答表 标的清单 报价表 产品技术参数表.docx 响应函 监狱企业的证明文件 投标技术方案.docx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同时满足以下条款：（1）报价符合唯一性要求；（2）未超出采购预算或最高限价。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分项报价表.docx 供应商应提交的相关资格证明材料.docx 中小企业声明函 残疾人福利性单位声明函 商务应答表 标的清单 报价表 产品技术参数表.docx 响应函 监狱企业的证明文件 投标技术方案.docx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产品技术指标响应程度</w:t>
            </w:r>
          </w:p>
        </w:tc>
        <w:tc>
          <w:tcPr>
            <w:tcW w:type="dxa" w:w="2492"/>
          </w:tcPr>
          <w:p>
            <w:pPr>
              <w:pStyle w:val="null3"/>
            </w:pPr>
            <w:r>
              <w:rPr>
                <w:rFonts w:ascii="仿宋_GB2312" w:hAnsi="仿宋_GB2312" w:cs="仿宋_GB2312" w:eastAsia="仿宋_GB2312"/>
              </w:rPr>
              <w:t>根据供应商所投产品技术参数满足程度赋分：1、产品技术参数清晰明确，优于或完全满足采购文件要求计35分；2、产品参数每负偏离一项扣2分，扣完为止;3、产品参数未提供计0分。备注：应逐条对技术参数进行应答，并提供充足的佐证材料（包括但不限检测报告、产品彩页等），予以证明参数的技术响应性。</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根据供应商针对本项目的项目实施方案，包括以下内容：①产品货源稳定保障方案（产品合法来源渠道证明资料、资源调配方案）；②供货实施保障方案（排产计划表、原材料备货保障、分批交付计划、专人对接小组、物流防雨防潮措施等）；③质量保证方案、售后服务方案。对以上3项内容分别进行评审。 二、评审标准：1、方案符合项目实际情况及实施要求，内容详尽且涵盖角度全面，合理性和可行性强，能够保障项目顺利实施的得4分；方案符合项目实际情况及实施要求，内容涵盖角度稍有欠缺的得2分；方案基本符合项目实际情况及实施要求，涵盖角度不全面且无法充分保证实施的得1分。未提供相关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售后及突发应急保障方案</w:t>
            </w:r>
          </w:p>
        </w:tc>
        <w:tc>
          <w:tcPr>
            <w:tcW w:type="dxa" w:w="2492"/>
          </w:tcPr>
          <w:p>
            <w:pPr>
              <w:pStyle w:val="null3"/>
            </w:pPr>
            <w:r>
              <w:rPr>
                <w:rFonts w:ascii="仿宋_GB2312" w:hAnsi="仿宋_GB2312" w:cs="仿宋_GB2312" w:eastAsia="仿宋_GB2312"/>
              </w:rPr>
              <w:t>针对本项目实施过程中突发状况有应急保障方案，能够保证项目顺利实施。 方案全面、合理、规范，可操作性强得4分；方案比较合理和规范，有较强的可操作性得2分；方案基本合理，有一定的可操作性得1分。未提供相关内容不得分。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供应商需提供所需货物的全套样品（短袖，被子，双肩包，本子，伞各一件（套）），针对技术标准要求的面料材质、做工工艺、配色色差、辅料配件、整体质量优劣等因素进行综合评审： 1.外观做工：整体造型规整挺括，版型端正，缝制线路顺直均匀，边角平整对称；无开线、断线、多余线头，无烫黄、水渍、褶皱、亮光、破损、污渍等外观缺陷。 2.面料材质：面料无跳纱、破洞、疵点、油污，厚薄均匀，不起泡、不起皱、无明显色差；面料手感、克重符合常规使用要求，无异味。 3.加工工艺：缝合牢固牢靠，针脚细密均匀，包边、锁边、接缝处平整不歪斜，不露毛边、不露针迹；拉链、绑带、包角、伞骨、装订等关键部位工艺扎实，松紧适度。 4.颜色配色：缝纫线、包边布、logo印花、辅料颜色与主料面料、里料配色协调统一，整体无色差、串色、掉色、印花模糊晕染现象。 5.辅料配件：纽扣、拉链、织带、松紧带、绑绳、伞柄、伞骨、装订线圈等辅件齐全完好，安装牢固，配件无锈蚀、开裂、易脱落情况。 分值评定标准： 1.样品做工精良规整、美观大方，面料完好无疵点油污，工艺精细，配色均匀无色差，辅件齐全牢固，整体质量优秀完全符合要求，计4分；2.样品做工、外观、面料整体表现一般，存在少量细微线头、轻微褶皱等小问题，无重大缺陷，整体质量尚可，计2分；3.样品存在开线、疵点、色差、配件松动等明显瑕疵，做工粗糙，整体质量较差，仅能勉强满足基本使用需求的，计1分。 备注：未按照采购文件技术要求提供样品及或样品不全的不计分。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提供2023年6月1日至今类似项目业绩，每提供一个有效业绩得3分，满分15分；未提供不得分。（以业绩合同复印件加盖公章为准）。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磋商响应总报价采用低价优先法计算，即满足磋商文件要求且最终磋商响应总报价最低的报价为评审基准价，其价格分为满分30分。磋商响应总报价得分=（评审基准价/最终磋商响应总报价）×30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详见附件：投标技术方案.docx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