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7578DA">
      <w:pPr>
        <w:keepNext w:val="0"/>
        <w:keepLines w:val="0"/>
        <w:pageBreakBefore w:val="0"/>
        <w:widowControl w:val="0"/>
        <w:numPr>
          <w:ilvl w:val="0"/>
          <w:numId w:val="0"/>
        </w:numPr>
        <w:kinsoku/>
        <w:wordWrap/>
        <w:overflowPunct/>
        <w:topLinePunct w:val="0"/>
        <w:bidi w:val="0"/>
        <w:adjustRightInd w:val="0"/>
        <w:snapToGrid w:val="0"/>
        <w:spacing w:line="576" w:lineRule="exact"/>
        <w:jc w:val="center"/>
        <w:textAlignment w:val="auto"/>
        <w:rPr>
          <w:rFonts w:hint="default" w:ascii="仿宋_GB2312" w:hAnsi="仿宋_GB2312" w:eastAsia="仿宋_GB2312" w:cs="仿宋_GB2312"/>
          <w:b/>
          <w:sz w:val="44"/>
          <w:szCs w:val="44"/>
          <w:highlight w:val="none"/>
          <w:lang w:val="en-US" w:eastAsia="zh-CN"/>
        </w:rPr>
      </w:pPr>
      <w:r>
        <w:rPr>
          <w:rFonts w:hint="eastAsia" w:ascii="仿宋_GB2312" w:hAnsi="仿宋_GB2312" w:eastAsia="仿宋_GB2312" w:cs="仿宋_GB2312"/>
          <w:b/>
          <w:sz w:val="44"/>
          <w:szCs w:val="44"/>
          <w:highlight w:val="none"/>
          <w:lang w:val="en-US" w:eastAsia="zh-CN"/>
        </w:rPr>
        <w:t>采购需求</w:t>
      </w:r>
    </w:p>
    <w:p w14:paraId="36DD094D">
      <w:pPr>
        <w:keepNext w:val="0"/>
        <w:keepLines w:val="0"/>
        <w:pageBreakBefore w:val="0"/>
        <w:widowControl w:val="0"/>
        <w:numPr>
          <w:ilvl w:val="0"/>
          <w:numId w:val="0"/>
        </w:numPr>
        <w:kinsoku/>
        <w:wordWrap/>
        <w:overflowPunct/>
        <w:topLinePunct w:val="0"/>
        <w:bidi w:val="0"/>
        <w:adjustRightInd w:val="0"/>
        <w:snapToGrid w:val="0"/>
        <w:spacing w:line="576" w:lineRule="exact"/>
        <w:ind w:firstLine="643" w:firstLineChars="200"/>
        <w:textAlignment w:val="auto"/>
        <w:rPr>
          <w:rFonts w:hint="eastAsia" w:ascii="仿宋_GB2312" w:hAnsi="仿宋_GB2312" w:eastAsia="仿宋_GB2312" w:cs="仿宋_GB2312"/>
          <w:b/>
          <w:bCs/>
          <w:sz w:val="32"/>
          <w:szCs w:val="32"/>
          <w:highlight w:val="none"/>
          <w:lang w:eastAsia="zh-CN"/>
        </w:rPr>
      </w:pPr>
      <w:r>
        <w:rPr>
          <w:rFonts w:hint="eastAsia" w:ascii="仿宋_GB2312" w:hAnsi="仿宋_GB2312" w:eastAsia="仿宋_GB2312" w:cs="仿宋_GB2312"/>
          <w:b/>
          <w:sz w:val="32"/>
          <w:szCs w:val="32"/>
          <w:highlight w:val="none"/>
          <w:lang w:val="en-US" w:eastAsia="zh-CN"/>
        </w:rPr>
        <w:t>一、</w:t>
      </w:r>
      <w:r>
        <w:rPr>
          <w:rFonts w:hint="eastAsia" w:ascii="仿宋_GB2312" w:hAnsi="仿宋_GB2312" w:eastAsia="仿宋_GB2312" w:cs="仿宋_GB2312"/>
          <w:b/>
          <w:bCs/>
          <w:sz w:val="32"/>
          <w:szCs w:val="32"/>
          <w:highlight w:val="none"/>
          <w:lang w:val="en-US" w:eastAsia="zh-CN"/>
        </w:rPr>
        <w:t>服务内容</w:t>
      </w:r>
    </w:p>
    <w:p w14:paraId="0DF5D50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（一）</w:t>
      </w:r>
      <w:r>
        <w:rPr>
          <w:rFonts w:hint="eastAsia" w:ascii="仿宋_GB2312" w:hAnsi="仿宋_GB2312" w:eastAsia="仿宋_GB2312" w:cs="仿宋_GB2312"/>
          <w:sz w:val="32"/>
          <w:szCs w:val="32"/>
          <w:lang w:val="en-US" w:eastAsia="zh-CN"/>
        </w:rPr>
        <w:t>资料收集和整理</w:t>
      </w:r>
    </w:p>
    <w:p w14:paraId="35375FE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耕地划定需收集“三区三线”划定的耕地保护红线范围矢量、高标准农田建设、全域土地综合整治等新增的耕地范围矢量、林区、牧区范围内历史形成的集中连片耕地适量（权属不变）、耕地占补平衡储备库中2024年底现状为耕地的补充耕地范围范围矢量等。</w:t>
      </w:r>
    </w:p>
    <w:p w14:paraId="4941416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（二）</w:t>
      </w:r>
      <w:r>
        <w:rPr>
          <w:rFonts w:hint="eastAsia" w:ascii="仿宋_GB2312" w:hAnsi="仿宋_GB2312" w:eastAsia="仿宋_GB2312" w:cs="仿宋_GB2312"/>
          <w:sz w:val="32"/>
          <w:szCs w:val="32"/>
          <w:lang w:val="en-US" w:eastAsia="zh-CN"/>
        </w:rPr>
        <w:t>开展核实划定工作</w:t>
      </w:r>
    </w:p>
    <w:p w14:paraId="52FD823B">
      <w:pPr>
        <w:keepNext w:val="0"/>
        <w:keepLines w:val="0"/>
        <w:pageBreakBefore w:val="0"/>
        <w:widowControl/>
        <w:numPr>
          <w:ilvl w:val="0"/>
          <w:numId w:val="0"/>
        </w:numPr>
        <w:suppressLineNumbers w:val="0"/>
        <w:pBdr>
          <w:left w:val="none" w:color="auto" w:sz="0" w:space="0"/>
        </w:pBdr>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核实耕地空间和耕地补充空间及未划入耕地空间图斑数量、现状地类、空间位置准确性、合理性。充分考虑规划期内，非农建设占用、农业结构调整、足够的实施余量，避免将来耕地补充空间不足、现状耕地特别是优质耕地总量明显下滑。</w:t>
      </w:r>
    </w:p>
    <w:p w14:paraId="36B7A0E4">
      <w:pPr>
        <w:keepNext w:val="0"/>
        <w:keepLines w:val="0"/>
        <w:pageBreakBefore w:val="0"/>
        <w:widowControl/>
        <w:numPr>
          <w:ilvl w:val="0"/>
          <w:numId w:val="0"/>
        </w:numPr>
        <w:suppressLineNumbers w:val="0"/>
        <w:pBdr>
          <w:left w:val="none" w:color="auto" w:sz="0" w:space="0"/>
        </w:pBdr>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林草空间是通过规划确定的各级林草主管部门依据《中华人民共和国森林法》和《中华人民共和国草原法》开展保护管理活动的空间范围，具体分为林地空间和草地空间。要以确保规划期内森林覆盖率与林草覆盖率目标实现为前提。2024年底现状是林草地，不存在矛盾冲突的，按照应划尽划的原则划入林草空间。</w:t>
      </w:r>
    </w:p>
    <w:p w14:paraId="17C0213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（三）</w:t>
      </w:r>
      <w:r>
        <w:rPr>
          <w:rFonts w:hint="eastAsia" w:ascii="仿宋_GB2312" w:hAnsi="仿宋_GB2312" w:eastAsia="仿宋_GB2312" w:cs="仿宋_GB2312"/>
          <w:sz w:val="32"/>
          <w:szCs w:val="32"/>
          <w:lang w:val="en-US" w:eastAsia="zh-CN"/>
        </w:rPr>
        <w:t>数据建库</w:t>
      </w:r>
    </w:p>
    <w:p w14:paraId="5986A73D">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1.格式为gdb；</w:t>
      </w:r>
    </w:p>
    <w:p w14:paraId="6CBDC2DD">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 xml:space="preserve">2.坐标系采用“2000国家大地坐标系”，高程采用1985国家高程基准，投影方式采用“高斯-克吕格投影”，矢量数据拓扑容差为0.0001； </w:t>
      </w:r>
    </w:p>
    <w:p w14:paraId="2436313D">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 xml:space="preserve">3.数据图层内要素间不能重叠、不能存在缝隙、不能存在自相交、不能存在多部件； </w:t>
      </w:r>
    </w:p>
    <w:p w14:paraId="586F9C2E">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 xml:space="preserve">4.标识码必须唯一，必填字段不得缺项漏项，面积单位为平方米，保留2位小数； </w:t>
      </w:r>
    </w:p>
    <w:p w14:paraId="0B45C5A5">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 xml:space="preserve">5.国土绿化空间与未纳入林地/草地空间的现状林地/草地3个图层间不能存在重叠； </w:t>
      </w:r>
    </w:p>
    <w:p w14:paraId="2090DBDD">
      <w:pPr>
        <w:keepNext w:val="0"/>
        <w:keepLines w:val="0"/>
        <w:pageBreakBefore w:val="0"/>
        <w:widowControl/>
        <w:numPr>
          <w:ilvl w:val="0"/>
          <w:numId w:val="0"/>
        </w:numPr>
        <w:suppressLineNumbers w:val="0"/>
        <w:pBdr>
          <w:left w:val="none" w:color="auto" w:sz="0" w:space="0"/>
        </w:pBdr>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kern w:val="2"/>
          <w:sz w:val="32"/>
          <w:szCs w:val="32"/>
          <w:lang w:val="en-US" w:eastAsia="zh-CN" w:bidi="ar-SA"/>
        </w:rPr>
        <w:t>6.其他字段之间的逻辑关系参考普查质检规则。</w:t>
      </w:r>
    </w:p>
    <w:p w14:paraId="1F8CD34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（四）</w:t>
      </w:r>
      <w:r>
        <w:rPr>
          <w:rFonts w:hint="eastAsia" w:ascii="仿宋_GB2312" w:hAnsi="仿宋_GB2312" w:eastAsia="仿宋_GB2312" w:cs="仿宋_GB2312"/>
          <w:sz w:val="32"/>
          <w:szCs w:val="32"/>
          <w:lang w:val="en-US" w:eastAsia="zh-CN"/>
        </w:rPr>
        <w:t>方案编制和汇总分析</w:t>
      </w:r>
    </w:p>
    <w:p w14:paraId="47E15A18">
      <w:pPr>
        <w:keepNext w:val="0"/>
        <w:keepLines w:val="0"/>
        <w:pageBreakBefore w:val="0"/>
        <w:widowControl w:val="0"/>
        <w:numPr>
          <w:ilvl w:val="0"/>
          <w:numId w:val="0"/>
        </w:numPr>
        <w:kinsoku/>
        <w:wordWrap/>
        <w:overflowPunct/>
        <w:topLinePunct w:val="0"/>
        <w:bidi w:val="0"/>
        <w:adjustRightInd w:val="0"/>
        <w:snapToGrid w:val="0"/>
        <w:spacing w:line="576"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基于数据库，汇集和处理调查数据，开展规划方案编制，耕地保护和国土绿化空间专项规划是国土空间专项规划里的重要类型，属于资源保护利用类规划。它的核心是把耕地、林草、补充耕地和国土绿化空间布局统筹好、优化好。这个规划既是对国土空间总体规划里耕地和永久基本农田保护内容的细化落实，也是耕地保护工作的总纲领，目标就是实现耕地数量、质量、生态和文化“四位一体”保护。规划编制遵循“问题导向—目标指引—布局优化—行动实施”的逻辑链条。</w:t>
      </w:r>
    </w:p>
    <w:p w14:paraId="76E21511">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leftChars="0" w:firstLine="643" w:firstLineChars="200"/>
        <w:jc w:val="both"/>
        <w:textAlignment w:val="auto"/>
        <w:rPr>
          <w:rFonts w:hint="eastAsia" w:ascii="仿宋_GB2312" w:hAnsi="仿宋_GB2312" w:eastAsia="仿宋_GB2312" w:cs="仿宋_GB2312"/>
          <w:b/>
          <w:bCs/>
          <w:sz w:val="32"/>
          <w:szCs w:val="32"/>
          <w:highlight w:val="none"/>
          <w:lang w:val="en-US" w:eastAsia="zh-CN"/>
        </w:rPr>
      </w:pPr>
      <w:r>
        <w:rPr>
          <w:rFonts w:hint="eastAsia" w:ascii="仿宋_GB2312" w:hAnsi="仿宋_GB2312" w:eastAsia="仿宋_GB2312" w:cs="仿宋_GB2312"/>
          <w:b/>
          <w:bCs/>
          <w:sz w:val="32"/>
          <w:szCs w:val="32"/>
          <w:highlight w:val="none"/>
          <w:lang w:val="en-US" w:eastAsia="zh-CN"/>
        </w:rPr>
        <w:t>二、项目预期成果</w:t>
      </w:r>
    </w:p>
    <w:p w14:paraId="0DB9BDF5">
      <w:pPr>
        <w:keepNext w:val="0"/>
        <w:keepLines w:val="0"/>
        <w:pageBreakBefore w:val="0"/>
        <w:widowControl w:val="0"/>
        <w:numPr>
          <w:ilvl w:val="0"/>
          <w:numId w:val="0"/>
        </w:numPr>
        <w:kinsoku/>
        <w:wordWrap/>
        <w:overflowPunct/>
        <w:topLinePunct w:val="0"/>
        <w:bidi w:val="0"/>
        <w:adjustRightInd w:val="0"/>
        <w:snapToGrid w:val="0"/>
        <w:spacing w:line="576" w:lineRule="exact"/>
        <w:ind w:firstLine="640" w:firstLineChars="200"/>
        <w:textAlignment w:val="auto"/>
        <w:rPr>
          <w:rFonts w:hint="default" w:ascii="仿宋_GB2312" w:hAnsi="仿宋_GB2312" w:eastAsia="仿宋_GB2312" w:cs="仿宋_GB2312"/>
          <w:kern w:val="2"/>
          <w:sz w:val="32"/>
          <w:szCs w:val="32"/>
          <w:lang w:val="en-US" w:eastAsia="zh-CN" w:bidi="ar-SA"/>
        </w:rPr>
      </w:pPr>
      <w:r>
        <w:rPr>
          <w:rFonts w:hint="default" w:ascii="仿宋_GB2312" w:hAnsi="仿宋_GB2312" w:eastAsia="仿宋_GB2312" w:cs="仿宋_GB2312"/>
          <w:kern w:val="2"/>
          <w:sz w:val="32"/>
          <w:szCs w:val="32"/>
          <w:lang w:val="en-US" w:eastAsia="zh-CN" w:bidi="ar-SA"/>
        </w:rPr>
        <w:t>依据《耕地保护和国土绿化空间专项规划编制工作方案》、《省级耕地保护和国土绿化空间专项规划数据汇交和技术审查要求》，主要包括数据库、统计表、支撑材料、实施方案等。</w:t>
      </w:r>
    </w:p>
    <w:p w14:paraId="5002299A">
      <w:pPr>
        <w:keepNext w:val="0"/>
        <w:keepLines w:val="0"/>
        <w:pageBreakBefore w:val="0"/>
        <w:widowControl w:val="0"/>
        <w:numPr>
          <w:ilvl w:val="0"/>
          <w:numId w:val="0"/>
        </w:numPr>
        <w:kinsoku/>
        <w:wordWrap/>
        <w:overflowPunct/>
        <w:topLinePunct w:val="0"/>
        <w:bidi w:val="0"/>
        <w:adjustRightInd w:val="0"/>
        <w:snapToGrid w:val="0"/>
        <w:spacing w:line="576" w:lineRule="exact"/>
        <w:ind w:firstLine="640" w:firstLineChars="200"/>
        <w:textAlignment w:val="auto"/>
        <w:rPr>
          <w:rFonts w:hint="default"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w:t>
      </w:r>
      <w:r>
        <w:rPr>
          <w:rFonts w:hint="default" w:ascii="仿宋_GB2312" w:hAnsi="仿宋_GB2312" w:eastAsia="仿宋_GB2312" w:cs="仿宋_GB2312"/>
          <w:kern w:val="2"/>
          <w:sz w:val="32"/>
          <w:szCs w:val="32"/>
          <w:lang w:val="en-US" w:eastAsia="zh-CN" w:bidi="ar-SA"/>
        </w:rPr>
        <w:t>一</w:t>
      </w:r>
      <w:r>
        <w:rPr>
          <w:rFonts w:hint="eastAsia" w:ascii="仿宋_GB2312" w:hAnsi="仿宋_GB2312" w:eastAsia="仿宋_GB2312" w:cs="仿宋_GB2312"/>
          <w:kern w:val="2"/>
          <w:sz w:val="32"/>
          <w:szCs w:val="32"/>
          <w:lang w:val="en-US" w:eastAsia="zh-CN" w:bidi="ar-SA"/>
        </w:rPr>
        <w:t>）</w:t>
      </w:r>
      <w:r>
        <w:rPr>
          <w:rFonts w:hint="default" w:ascii="仿宋_GB2312" w:hAnsi="仿宋_GB2312" w:eastAsia="仿宋_GB2312" w:cs="仿宋_GB2312"/>
          <w:kern w:val="2"/>
          <w:sz w:val="32"/>
          <w:szCs w:val="32"/>
          <w:lang w:val="en-US" w:eastAsia="zh-CN" w:bidi="ar-SA"/>
        </w:rPr>
        <w:t>数据库</w:t>
      </w:r>
      <w:r>
        <w:rPr>
          <w:rFonts w:hint="eastAsia" w:ascii="仿宋_GB2312" w:hAnsi="仿宋_GB2312" w:eastAsia="仿宋_GB2312" w:cs="仿宋_GB2312"/>
          <w:kern w:val="2"/>
          <w:sz w:val="32"/>
          <w:szCs w:val="32"/>
          <w:lang w:val="en-US" w:eastAsia="zh-CN" w:bidi="ar-SA"/>
        </w:rPr>
        <w:t>，</w:t>
      </w:r>
      <w:r>
        <w:rPr>
          <w:rFonts w:hint="default" w:ascii="仿宋_GB2312" w:hAnsi="仿宋_GB2312" w:eastAsia="仿宋_GB2312" w:cs="仿宋_GB2312"/>
          <w:kern w:val="2"/>
          <w:sz w:val="32"/>
          <w:szCs w:val="32"/>
          <w:lang w:val="en-US" w:eastAsia="zh-CN" w:bidi="ar-SA"/>
        </w:rPr>
        <w:t>包括耕地保护空间数据库、未划入耕地空间数据库、耕地补充空间数据库、国土绿化空间数据库、未划入林地空间数据库、未划入草地空间数据库数据库。</w:t>
      </w:r>
    </w:p>
    <w:p w14:paraId="36206A13">
      <w:pPr>
        <w:keepNext w:val="0"/>
        <w:keepLines w:val="0"/>
        <w:pageBreakBefore w:val="0"/>
        <w:widowControl w:val="0"/>
        <w:numPr>
          <w:ilvl w:val="0"/>
          <w:numId w:val="0"/>
        </w:numPr>
        <w:kinsoku/>
        <w:wordWrap/>
        <w:overflowPunct/>
        <w:topLinePunct w:val="0"/>
        <w:bidi w:val="0"/>
        <w:adjustRightInd w:val="0"/>
        <w:snapToGrid w:val="0"/>
        <w:spacing w:line="576" w:lineRule="exact"/>
        <w:ind w:firstLine="640" w:firstLineChars="200"/>
        <w:textAlignment w:val="auto"/>
        <w:rPr>
          <w:rFonts w:hint="default"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w:t>
      </w:r>
      <w:r>
        <w:rPr>
          <w:rFonts w:hint="default" w:ascii="仿宋_GB2312" w:hAnsi="仿宋_GB2312" w:eastAsia="仿宋_GB2312" w:cs="仿宋_GB2312"/>
          <w:kern w:val="2"/>
          <w:sz w:val="32"/>
          <w:szCs w:val="32"/>
          <w:lang w:val="en-US" w:eastAsia="zh-CN" w:bidi="ar-SA"/>
        </w:rPr>
        <w:t>二</w:t>
      </w:r>
      <w:r>
        <w:rPr>
          <w:rFonts w:hint="eastAsia" w:ascii="仿宋_GB2312" w:hAnsi="仿宋_GB2312" w:eastAsia="仿宋_GB2312" w:cs="仿宋_GB2312"/>
          <w:kern w:val="2"/>
          <w:sz w:val="32"/>
          <w:szCs w:val="32"/>
          <w:lang w:val="en-US" w:eastAsia="zh-CN" w:bidi="ar-SA"/>
        </w:rPr>
        <w:t>）</w:t>
      </w:r>
      <w:r>
        <w:rPr>
          <w:rFonts w:hint="default" w:ascii="仿宋_GB2312" w:hAnsi="仿宋_GB2312" w:eastAsia="仿宋_GB2312" w:cs="仿宋_GB2312"/>
          <w:kern w:val="2"/>
          <w:sz w:val="32"/>
          <w:szCs w:val="32"/>
          <w:lang w:val="en-US" w:eastAsia="zh-CN" w:bidi="ar-SA"/>
        </w:rPr>
        <w:t>统计表</w:t>
      </w:r>
      <w:r>
        <w:rPr>
          <w:rFonts w:hint="eastAsia" w:ascii="仿宋_GB2312" w:hAnsi="仿宋_GB2312" w:eastAsia="仿宋_GB2312" w:cs="仿宋_GB2312"/>
          <w:kern w:val="2"/>
          <w:sz w:val="32"/>
          <w:szCs w:val="32"/>
          <w:lang w:val="en-US" w:eastAsia="zh-CN" w:bidi="ar-SA"/>
        </w:rPr>
        <w:t>，</w:t>
      </w:r>
      <w:r>
        <w:rPr>
          <w:rFonts w:hint="default" w:ascii="仿宋_GB2312" w:hAnsi="仿宋_GB2312" w:eastAsia="仿宋_GB2312" w:cs="仿宋_GB2312"/>
          <w:kern w:val="2"/>
          <w:sz w:val="32"/>
          <w:szCs w:val="32"/>
          <w:lang w:val="en-US" w:eastAsia="zh-CN" w:bidi="ar-SA"/>
        </w:rPr>
        <w:t>包括耕地保护空间统计表、未划入耕地空间统计表、耕地补充空间统计表、林地空间统计表、草地空间统计表、未划入林地空间统计表、未划入草地空间统计表等一系列成果统计表。</w:t>
      </w:r>
    </w:p>
    <w:p w14:paraId="57C3B022">
      <w:pPr>
        <w:keepNext w:val="0"/>
        <w:keepLines w:val="0"/>
        <w:pageBreakBefore w:val="0"/>
        <w:widowControl w:val="0"/>
        <w:numPr>
          <w:ilvl w:val="0"/>
          <w:numId w:val="0"/>
        </w:numPr>
        <w:kinsoku/>
        <w:wordWrap/>
        <w:overflowPunct/>
        <w:topLinePunct w:val="0"/>
        <w:bidi w:val="0"/>
        <w:adjustRightInd w:val="0"/>
        <w:snapToGrid w:val="0"/>
        <w:spacing w:line="576" w:lineRule="exact"/>
        <w:ind w:firstLine="640" w:firstLineChars="200"/>
        <w:textAlignment w:val="auto"/>
        <w:rPr>
          <w:rFonts w:hint="default"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w:t>
      </w:r>
      <w:r>
        <w:rPr>
          <w:rFonts w:hint="default" w:ascii="仿宋_GB2312" w:hAnsi="仿宋_GB2312" w:eastAsia="仿宋_GB2312" w:cs="仿宋_GB2312"/>
          <w:kern w:val="2"/>
          <w:sz w:val="32"/>
          <w:szCs w:val="32"/>
          <w:lang w:val="en-US" w:eastAsia="zh-CN" w:bidi="ar-SA"/>
        </w:rPr>
        <w:t>三</w:t>
      </w:r>
      <w:r>
        <w:rPr>
          <w:rFonts w:hint="eastAsia" w:ascii="仿宋_GB2312" w:hAnsi="仿宋_GB2312" w:eastAsia="仿宋_GB2312" w:cs="仿宋_GB2312"/>
          <w:kern w:val="2"/>
          <w:sz w:val="32"/>
          <w:szCs w:val="32"/>
          <w:lang w:val="en-US" w:eastAsia="zh-CN" w:bidi="ar-SA"/>
        </w:rPr>
        <w:t>）</w:t>
      </w:r>
      <w:r>
        <w:rPr>
          <w:rFonts w:hint="default" w:ascii="仿宋_GB2312" w:hAnsi="仿宋_GB2312" w:eastAsia="仿宋_GB2312" w:cs="仿宋_GB2312"/>
          <w:kern w:val="2"/>
          <w:sz w:val="32"/>
          <w:szCs w:val="32"/>
          <w:lang w:val="en-US" w:eastAsia="zh-CN" w:bidi="ar-SA"/>
        </w:rPr>
        <w:t>支撑材料</w:t>
      </w:r>
      <w:r>
        <w:rPr>
          <w:rFonts w:hint="eastAsia" w:ascii="仿宋_GB2312" w:hAnsi="仿宋_GB2312" w:eastAsia="仿宋_GB2312" w:cs="仿宋_GB2312"/>
          <w:kern w:val="2"/>
          <w:sz w:val="32"/>
          <w:szCs w:val="32"/>
          <w:lang w:val="en-US" w:eastAsia="zh-CN" w:bidi="ar-SA"/>
        </w:rPr>
        <w:t>，</w:t>
      </w:r>
      <w:r>
        <w:rPr>
          <w:rFonts w:hint="default" w:ascii="仿宋_GB2312" w:hAnsi="仿宋_GB2312" w:eastAsia="仿宋_GB2312" w:cs="仿宋_GB2312"/>
          <w:kern w:val="2"/>
          <w:sz w:val="32"/>
          <w:szCs w:val="32"/>
          <w:lang w:val="en-US" w:eastAsia="zh-CN" w:bidi="ar-SA"/>
        </w:rPr>
        <w:t>包括矢量数据可包含审批范围、市县不划入因素等，文件材料可包含立项、批复、现状照片等。</w:t>
      </w:r>
    </w:p>
    <w:p w14:paraId="5663C11A">
      <w:pPr>
        <w:keepNext w:val="0"/>
        <w:keepLines w:val="0"/>
        <w:pageBreakBefore w:val="0"/>
        <w:widowControl w:val="0"/>
        <w:numPr>
          <w:ilvl w:val="0"/>
          <w:numId w:val="0"/>
        </w:numPr>
        <w:kinsoku/>
        <w:wordWrap/>
        <w:overflowPunct/>
        <w:topLinePunct w:val="0"/>
        <w:bidi w:val="0"/>
        <w:adjustRightInd w:val="0"/>
        <w:snapToGrid w:val="0"/>
        <w:spacing w:line="576" w:lineRule="exact"/>
        <w:ind w:firstLine="640" w:firstLineChars="200"/>
        <w:textAlignment w:val="auto"/>
        <w:rPr>
          <w:rFonts w:hint="default" w:ascii="Times New Roman" w:hAnsi="Times New Roman" w:eastAsia="仿宋" w:cs="Times New Roman"/>
          <w:b w:val="0"/>
          <w:bCs w:val="0"/>
          <w:sz w:val="32"/>
          <w:szCs w:val="32"/>
        </w:rPr>
      </w:pPr>
      <w:r>
        <w:rPr>
          <w:rFonts w:hint="eastAsia" w:ascii="仿宋_GB2312" w:hAnsi="仿宋_GB2312" w:eastAsia="仿宋_GB2312" w:cs="仿宋_GB2312"/>
          <w:kern w:val="2"/>
          <w:sz w:val="32"/>
          <w:szCs w:val="32"/>
          <w:lang w:val="en-US" w:eastAsia="zh-CN" w:bidi="ar-SA"/>
        </w:rPr>
        <w:t>（</w:t>
      </w:r>
      <w:r>
        <w:rPr>
          <w:rFonts w:hint="default" w:ascii="仿宋_GB2312" w:hAnsi="仿宋_GB2312" w:eastAsia="仿宋_GB2312" w:cs="仿宋_GB2312"/>
          <w:kern w:val="2"/>
          <w:sz w:val="32"/>
          <w:szCs w:val="32"/>
          <w:lang w:val="en-US" w:eastAsia="zh-CN" w:bidi="ar-SA"/>
        </w:rPr>
        <w:t>四</w:t>
      </w:r>
      <w:r>
        <w:rPr>
          <w:rFonts w:hint="eastAsia" w:ascii="仿宋_GB2312" w:hAnsi="仿宋_GB2312" w:eastAsia="仿宋_GB2312" w:cs="仿宋_GB2312"/>
          <w:kern w:val="2"/>
          <w:sz w:val="32"/>
          <w:szCs w:val="32"/>
          <w:lang w:val="en-US" w:eastAsia="zh-CN" w:bidi="ar-SA"/>
        </w:rPr>
        <w:t>）</w:t>
      </w:r>
      <w:r>
        <w:rPr>
          <w:rFonts w:hint="default" w:ascii="仿宋_GB2312" w:hAnsi="仿宋_GB2312" w:eastAsia="仿宋_GB2312" w:cs="仿宋_GB2312"/>
          <w:kern w:val="2"/>
          <w:sz w:val="32"/>
          <w:szCs w:val="32"/>
          <w:lang w:val="en-US" w:eastAsia="zh-CN" w:bidi="ar-SA"/>
        </w:rPr>
        <w:t>实施方案。</w:t>
      </w:r>
    </w:p>
    <w:p w14:paraId="3419CB54">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leftChars="0" w:firstLine="643" w:firstLineChars="200"/>
        <w:jc w:val="both"/>
        <w:textAlignment w:val="auto"/>
        <w:rPr>
          <w:rFonts w:hint="eastAsia" w:ascii="仿宋_GB2312" w:hAnsi="仿宋_GB2312" w:eastAsia="仿宋_GB2312" w:cs="仿宋_GB2312"/>
          <w:b/>
          <w:bCs/>
          <w:sz w:val="32"/>
          <w:szCs w:val="32"/>
          <w:highlight w:val="none"/>
          <w:lang w:val="en-US" w:eastAsia="zh-CN"/>
        </w:rPr>
      </w:pPr>
      <w:r>
        <w:rPr>
          <w:rFonts w:hint="eastAsia" w:ascii="仿宋_GB2312" w:hAnsi="仿宋_GB2312" w:eastAsia="仿宋_GB2312" w:cs="仿宋_GB2312"/>
          <w:b/>
          <w:bCs/>
          <w:sz w:val="32"/>
          <w:szCs w:val="32"/>
          <w:highlight w:val="none"/>
          <w:lang w:val="en-US" w:eastAsia="zh-CN"/>
        </w:rPr>
        <w:t>三、</w:t>
      </w:r>
      <w:r>
        <w:rPr>
          <w:rFonts w:hint="default" w:ascii="仿宋_GB2312" w:hAnsi="仿宋_GB2312" w:eastAsia="仿宋_GB2312" w:cs="仿宋_GB2312"/>
          <w:b/>
          <w:bCs/>
          <w:sz w:val="32"/>
          <w:szCs w:val="32"/>
          <w:highlight w:val="none"/>
          <w:lang w:val="en-US" w:eastAsia="zh-CN"/>
        </w:rPr>
        <w:t>交付成果完整性</w:t>
      </w:r>
    </w:p>
    <w:p w14:paraId="5AE1FCB9">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640" w:firstLineChars="200"/>
        <w:jc w:val="both"/>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供应商按要求提交所有交付成果，且成果内容符合规定格式和质量要求。</w:t>
      </w:r>
    </w:p>
    <w:p w14:paraId="7B116F23">
      <w:pPr>
        <w:keepNext w:val="0"/>
        <w:keepLines w:val="0"/>
        <w:pageBreakBefore w:val="0"/>
        <w:widowControl w:val="0"/>
        <w:numPr>
          <w:ilvl w:val="0"/>
          <w:numId w:val="0"/>
        </w:numPr>
        <w:kinsoku/>
        <w:wordWrap/>
        <w:overflowPunct/>
        <w:topLinePunct w:val="0"/>
        <w:autoSpaceDE w:val="0"/>
        <w:autoSpaceDN w:val="0"/>
        <w:bidi w:val="0"/>
        <w:adjustRightInd w:val="0"/>
        <w:snapToGrid w:val="0"/>
        <w:spacing w:line="576" w:lineRule="exact"/>
        <w:ind w:firstLine="643" w:firstLineChars="200"/>
        <w:jc w:val="left"/>
        <w:textAlignment w:val="auto"/>
        <w:outlineLvl w:val="9"/>
        <w:rPr>
          <w:rFonts w:hint="default" w:ascii="仿宋_GB2312" w:hAnsi="仿宋_GB2312" w:eastAsia="仿宋_GB2312" w:cs="仿宋_GB2312"/>
          <w:b/>
          <w:bCs/>
          <w:color w:val="auto"/>
          <w:kern w:val="2"/>
          <w:sz w:val="32"/>
          <w:szCs w:val="32"/>
          <w:highlight w:val="none"/>
          <w:lang w:val="en-US" w:eastAsia="zh-CN" w:bidi="ar-SA"/>
        </w:rPr>
      </w:pPr>
      <w:r>
        <w:rPr>
          <w:rFonts w:hint="eastAsia" w:ascii="仿宋_GB2312" w:hAnsi="仿宋_GB2312" w:eastAsia="仿宋_GB2312" w:cs="仿宋_GB2312"/>
          <w:b/>
          <w:bCs/>
          <w:color w:val="auto"/>
          <w:kern w:val="2"/>
          <w:sz w:val="32"/>
          <w:szCs w:val="32"/>
          <w:highlight w:val="none"/>
          <w:lang w:val="en-US" w:eastAsia="zh-CN" w:bidi="ar-SA"/>
        </w:rPr>
        <w:t>四、商务要求</w:t>
      </w:r>
    </w:p>
    <w:p w14:paraId="30C20A0C">
      <w:pPr>
        <w:keepNext w:val="0"/>
        <w:keepLines w:val="0"/>
        <w:pageBreakBefore w:val="0"/>
        <w:widowControl w:val="0"/>
        <w:numPr>
          <w:ilvl w:val="0"/>
          <w:numId w:val="0"/>
        </w:numPr>
        <w:kinsoku/>
        <w:wordWrap/>
        <w:overflowPunct/>
        <w:topLinePunct w:val="0"/>
        <w:autoSpaceDE w:val="0"/>
        <w:autoSpaceDN w:val="0"/>
        <w:bidi w:val="0"/>
        <w:adjustRightInd w:val="0"/>
        <w:snapToGrid w:val="0"/>
        <w:spacing w:line="576" w:lineRule="exact"/>
        <w:ind w:firstLine="640" w:firstLineChars="200"/>
        <w:jc w:val="left"/>
        <w:textAlignment w:val="auto"/>
        <w:outlineLvl w:val="9"/>
        <w:rPr>
          <w:rFonts w:hint="eastAsia"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（一）服务期：自合同签订之日起45个日历天内完成。</w:t>
      </w:r>
    </w:p>
    <w:p w14:paraId="65FC6BA2">
      <w:pPr>
        <w:keepNext w:val="0"/>
        <w:keepLines w:val="0"/>
        <w:pageBreakBefore w:val="0"/>
        <w:widowControl w:val="0"/>
        <w:numPr>
          <w:ilvl w:val="0"/>
          <w:numId w:val="0"/>
        </w:numPr>
        <w:kinsoku/>
        <w:wordWrap/>
        <w:overflowPunct/>
        <w:topLinePunct w:val="0"/>
        <w:autoSpaceDE w:val="0"/>
        <w:autoSpaceDN w:val="0"/>
        <w:bidi w:val="0"/>
        <w:adjustRightInd w:val="0"/>
        <w:snapToGrid w:val="0"/>
        <w:spacing w:line="576" w:lineRule="exact"/>
        <w:ind w:firstLine="640" w:firstLineChars="200"/>
        <w:jc w:val="left"/>
        <w:textAlignment w:val="auto"/>
        <w:outlineLvl w:val="9"/>
        <w:rPr>
          <w:rFonts w:hint="default"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（二）服务地点：西安高新区范围内，具体按照采购人要求为准。</w:t>
      </w:r>
    </w:p>
    <w:p w14:paraId="03077D7F">
      <w:pPr>
        <w:keepNext w:val="0"/>
        <w:keepLines w:val="0"/>
        <w:pageBreakBefore w:val="0"/>
        <w:widowControl w:val="0"/>
        <w:numPr>
          <w:ilvl w:val="0"/>
          <w:numId w:val="0"/>
        </w:numPr>
        <w:kinsoku/>
        <w:wordWrap/>
        <w:overflowPunct/>
        <w:topLinePunct w:val="0"/>
        <w:autoSpaceDE w:val="0"/>
        <w:autoSpaceDN w:val="0"/>
        <w:bidi w:val="0"/>
        <w:adjustRightInd w:val="0"/>
        <w:snapToGrid w:val="0"/>
        <w:spacing w:line="576" w:lineRule="exact"/>
        <w:ind w:firstLine="643" w:firstLineChars="200"/>
        <w:jc w:val="left"/>
        <w:textAlignment w:val="auto"/>
        <w:outlineLvl w:val="9"/>
        <w:rPr>
          <w:rFonts w:hint="eastAsia" w:ascii="仿宋_GB2312" w:hAnsi="仿宋_GB2312" w:eastAsia="仿宋_GB2312" w:cs="仿宋_GB2312"/>
          <w:b/>
          <w:bCs/>
          <w:color w:val="auto"/>
          <w:sz w:val="32"/>
          <w:szCs w:val="32"/>
          <w:highlight w:val="none"/>
          <w:lang w:val="en-US" w:eastAsia="zh-CN"/>
        </w:rPr>
      </w:pPr>
      <w:bookmarkStart w:id="0" w:name="_GoBack"/>
      <w:bookmarkEnd w:id="0"/>
    </w:p>
    <w:p w14:paraId="1EC94C33">
      <w:pPr>
        <w:keepNext w:val="0"/>
        <w:keepLines w:val="0"/>
        <w:pageBreakBefore w:val="0"/>
        <w:widowControl w:val="0"/>
        <w:numPr>
          <w:ilvl w:val="0"/>
          <w:numId w:val="0"/>
        </w:numPr>
        <w:kinsoku/>
        <w:wordWrap/>
        <w:overflowPunct/>
        <w:topLinePunct w:val="0"/>
        <w:autoSpaceDE w:val="0"/>
        <w:autoSpaceDN w:val="0"/>
        <w:bidi w:val="0"/>
        <w:adjustRightInd w:val="0"/>
        <w:snapToGrid w:val="0"/>
        <w:spacing w:line="576" w:lineRule="exact"/>
        <w:ind w:firstLine="643" w:firstLineChars="200"/>
        <w:jc w:val="left"/>
        <w:textAlignment w:val="auto"/>
        <w:outlineLvl w:val="9"/>
        <w:rPr>
          <w:rFonts w:hint="eastAsia" w:ascii="仿宋_GB2312" w:hAnsi="仿宋_GB2312" w:eastAsia="仿宋_GB2312" w:cs="仿宋_GB2312"/>
          <w:b/>
          <w:bCs/>
          <w:color w:val="auto"/>
          <w:sz w:val="32"/>
          <w:szCs w:val="32"/>
          <w:highlight w:val="none"/>
          <w:lang w:val="en-US" w:eastAsia="zh-CN"/>
        </w:rPr>
      </w:pPr>
    </w:p>
    <w:p w14:paraId="417AE812">
      <w:pPr>
        <w:pStyle w:val="12"/>
        <w:keepNext w:val="0"/>
        <w:keepLines w:val="0"/>
        <w:pageBreakBefore w:val="0"/>
        <w:widowControl w:val="0"/>
        <w:numPr>
          <w:ilvl w:val="0"/>
          <w:numId w:val="0"/>
        </w:numPr>
        <w:tabs>
          <w:tab w:val="center" w:pos="4140"/>
          <w:tab w:val="right" w:pos="8300"/>
          <w:tab w:val="clear" w:pos="4153"/>
          <w:tab w:val="clear" w:pos="8306"/>
        </w:tabs>
        <w:kinsoku/>
        <w:wordWrap/>
        <w:overflowPunct/>
        <w:topLinePunct w:val="0"/>
        <w:autoSpaceDE/>
        <w:autoSpaceDN/>
        <w:bidi w:val="0"/>
        <w:snapToGrid w:val="0"/>
        <w:spacing w:line="576" w:lineRule="exact"/>
        <w:ind w:leftChars="0"/>
        <w:textAlignment w:val="auto"/>
        <w:rPr>
          <w:rFonts w:hint="eastAsia" w:ascii="仿宋_GB2312" w:hAnsi="仿宋_GB2312" w:eastAsia="仿宋_GB2312" w:cs="仿宋_GB2312"/>
          <w:b/>
          <w:bCs/>
          <w:color w:val="auto"/>
          <w:kern w:val="2"/>
          <w:sz w:val="32"/>
          <w:szCs w:val="32"/>
          <w:highlight w:val="none"/>
          <w:lang w:val="en-US" w:eastAsia="zh-CN" w:bidi="ar-SA"/>
        </w:rPr>
      </w:pPr>
    </w:p>
    <w:p w14:paraId="60B9E162">
      <w:pPr>
        <w:ind w:firstLine="420" w:firstLineChars="200"/>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swiss"/>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31136D"/>
    <w:multiLevelType w:val="multilevel"/>
    <w:tmpl w:val="8E31136D"/>
    <w:lvl w:ilvl="0" w:tentative="0">
      <w:start w:val="1"/>
      <w:numFmt w:val="chineseCounting"/>
      <w:pStyle w:val="3"/>
      <w:suff w:val="nothing"/>
      <w:lvlText w:val="%1、"/>
      <w:lvlJc w:val="left"/>
      <w:pPr>
        <w:ind w:left="0" w:firstLine="0"/>
      </w:pPr>
      <w:rPr>
        <w:rFonts w:hint="eastAsia"/>
      </w:rPr>
    </w:lvl>
    <w:lvl w:ilvl="1" w:tentative="0">
      <w:start w:val="1"/>
      <w:numFmt w:val="chineseCounting"/>
      <w:pStyle w:val="4"/>
      <w:suff w:val="nothing"/>
      <w:lvlText w:val="（%2）"/>
      <w:lvlJc w:val="left"/>
      <w:pPr>
        <w:ind w:left="0" w:firstLine="0"/>
      </w:pPr>
      <w:rPr>
        <w:rFonts w:hint="eastAsia"/>
      </w:rPr>
    </w:lvl>
    <w:lvl w:ilvl="2" w:tentative="0">
      <w:start w:val="1"/>
      <w:numFmt w:val="decimal"/>
      <w:pStyle w:val="5"/>
      <w:suff w:val="nothing"/>
      <w:lvlText w:val="%3．"/>
      <w:lvlJc w:val="left"/>
      <w:pPr>
        <w:ind w:left="0" w:firstLine="400"/>
      </w:pPr>
      <w:rPr>
        <w:rFonts w:hint="eastAsia"/>
      </w:rPr>
    </w:lvl>
    <w:lvl w:ilvl="3" w:tentative="0">
      <w:start w:val="1"/>
      <w:numFmt w:val="decimal"/>
      <w:pStyle w:val="6"/>
      <w:suff w:val="nothing"/>
      <w:lvlText w:val="（%4）"/>
      <w:lvlJc w:val="left"/>
      <w:pPr>
        <w:ind w:left="0" w:firstLine="402"/>
      </w:pPr>
      <w:rPr>
        <w:rFonts w:hint="eastAsia"/>
      </w:rPr>
    </w:lvl>
    <w:lvl w:ilvl="4" w:tentative="0">
      <w:start w:val="1"/>
      <w:numFmt w:val="decimalEnclosedCircleChinese"/>
      <w:pStyle w:val="7"/>
      <w:suff w:val="nothing"/>
      <w:lvlText w:val="%5"/>
      <w:lvlJc w:val="left"/>
      <w:pPr>
        <w:ind w:left="0" w:firstLine="402"/>
      </w:pPr>
      <w:rPr>
        <w:rFonts w:hint="eastAsia"/>
      </w:rPr>
    </w:lvl>
    <w:lvl w:ilvl="5" w:tentative="0">
      <w:start w:val="1"/>
      <w:numFmt w:val="decimal"/>
      <w:pStyle w:val="8"/>
      <w:suff w:val="nothing"/>
      <w:lvlText w:val="%6）"/>
      <w:lvlJc w:val="left"/>
      <w:pPr>
        <w:ind w:left="0" w:firstLine="402"/>
      </w:pPr>
      <w:rPr>
        <w:rFonts w:hint="eastAsia"/>
      </w:rPr>
    </w:lvl>
    <w:lvl w:ilvl="6" w:tentative="0">
      <w:start w:val="1"/>
      <w:numFmt w:val="lowerLetter"/>
      <w:pStyle w:val="9"/>
      <w:suff w:val="nothing"/>
      <w:lvlText w:val="%7．"/>
      <w:lvlJc w:val="left"/>
      <w:pPr>
        <w:ind w:left="0" w:firstLine="402"/>
      </w:pPr>
      <w:rPr>
        <w:rFonts w:hint="eastAsia"/>
      </w:rPr>
    </w:lvl>
    <w:lvl w:ilvl="7" w:tentative="0">
      <w:start w:val="1"/>
      <w:numFmt w:val="lowerLetter"/>
      <w:pStyle w:val="10"/>
      <w:suff w:val="nothing"/>
      <w:lvlText w:val="%8）"/>
      <w:lvlJc w:val="left"/>
      <w:pPr>
        <w:ind w:left="0" w:firstLine="402"/>
      </w:pPr>
      <w:rPr>
        <w:rFonts w:hint="eastAsia"/>
      </w:rPr>
    </w:lvl>
    <w:lvl w:ilvl="8" w:tentative="0">
      <w:start w:val="1"/>
      <w:numFmt w:val="lowerRoman"/>
      <w:pStyle w:val="11"/>
      <w:suff w:val="nothing"/>
      <w:lvlText w:val="%9 "/>
      <w:lvlJc w:val="left"/>
      <w:pPr>
        <w:ind w:left="0" w:firstLine="402"/>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E242304"/>
    <w:rsid w:val="167903CE"/>
    <w:rsid w:val="2D3576C1"/>
    <w:rsid w:val="30CB7D25"/>
    <w:rsid w:val="375E3730"/>
    <w:rsid w:val="3C385050"/>
    <w:rsid w:val="3E1E037D"/>
    <w:rsid w:val="5E242304"/>
    <w:rsid w:val="5EE3336F"/>
    <w:rsid w:val="656C55A9"/>
    <w:rsid w:val="70113CA5"/>
    <w:rsid w:val="7A7103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link w:val="15"/>
    <w:qFormat/>
    <w:uiPriority w:val="0"/>
    <w:pPr>
      <w:keepNext/>
      <w:numPr>
        <w:ilvl w:val="0"/>
        <w:numId w:val="1"/>
      </w:numPr>
      <w:spacing w:line="700" w:lineRule="exact"/>
      <w:jc w:val="center"/>
      <w:outlineLvl w:val="0"/>
    </w:pPr>
    <w:rPr>
      <w:rFonts w:ascii="黑体" w:hAnsi="黑体" w:eastAsia="宋体"/>
      <w:b/>
      <w:sz w:val="44"/>
    </w:rPr>
  </w:style>
  <w:style w:type="paragraph" w:styleId="4">
    <w:name w:val="heading 2"/>
    <w:basedOn w:val="1"/>
    <w:next w:val="1"/>
    <w:link w:val="16"/>
    <w:semiHidden/>
    <w:unhideWhenUsed/>
    <w:qFormat/>
    <w:uiPriority w:val="0"/>
    <w:pPr>
      <w:keepNext/>
      <w:numPr>
        <w:ilvl w:val="1"/>
        <w:numId w:val="1"/>
      </w:numPr>
      <w:spacing w:line="700" w:lineRule="exact"/>
      <w:outlineLvl w:val="1"/>
    </w:pPr>
    <w:rPr>
      <w:rFonts w:ascii="黑体" w:hAnsi="黑体" w:eastAsia="宋体"/>
      <w:b/>
      <w:sz w:val="44"/>
    </w:rPr>
  </w:style>
  <w:style w:type="paragraph" w:styleId="5">
    <w:name w:val="heading 3"/>
    <w:basedOn w:val="1"/>
    <w:next w:val="1"/>
    <w:semiHidden/>
    <w:unhideWhenUsed/>
    <w:qFormat/>
    <w:uiPriority w:val="0"/>
    <w:pPr>
      <w:keepNext/>
      <w:keepLines/>
      <w:numPr>
        <w:ilvl w:val="2"/>
        <w:numId w:val="1"/>
      </w:numPr>
      <w:snapToGrid w:val="0"/>
      <w:spacing w:before="260" w:beforeLines="0" w:beforeAutospacing="0" w:after="260" w:afterLines="0" w:afterAutospacing="0" w:line="300" w:lineRule="auto"/>
      <w:ind w:firstLine="403"/>
      <w:outlineLvl w:val="2"/>
    </w:pPr>
    <w:rPr>
      <w:rFonts w:eastAsia="仿宋_GB2312" w:asciiTheme="minorAscii" w:hAnsiTheme="minorAscii"/>
      <w:b/>
      <w:sz w:val="32"/>
    </w:rPr>
  </w:style>
  <w:style w:type="paragraph" w:styleId="6">
    <w:name w:val="heading 4"/>
    <w:basedOn w:val="1"/>
    <w:next w:val="1"/>
    <w:semiHidden/>
    <w:unhideWhenUsed/>
    <w:qFormat/>
    <w:uiPriority w:val="0"/>
    <w:pPr>
      <w:keepNext/>
      <w:keepLines/>
      <w:numPr>
        <w:ilvl w:val="3"/>
        <w:numId w:val="1"/>
      </w:numPr>
      <w:spacing w:before="280" w:beforeLines="0" w:beforeAutospacing="0" w:after="290" w:afterLines="0" w:afterAutospacing="0" w:line="372" w:lineRule="auto"/>
      <w:ind w:firstLine="402"/>
      <w:outlineLvl w:val="3"/>
    </w:pPr>
    <w:rPr>
      <w:rFonts w:ascii="Arial" w:hAnsi="Arial" w:eastAsia="黑体"/>
      <w:b/>
      <w:sz w:val="28"/>
    </w:rPr>
  </w:style>
  <w:style w:type="paragraph" w:styleId="7">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firstLine="402"/>
      <w:outlineLvl w:val="4"/>
    </w:pPr>
    <w:rPr>
      <w:b/>
      <w:sz w:val="28"/>
    </w:rPr>
  </w:style>
  <w:style w:type="paragraph" w:styleId="8">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firstLine="402"/>
      <w:outlineLvl w:val="5"/>
    </w:pPr>
    <w:rPr>
      <w:rFonts w:ascii="Arial" w:hAnsi="Arial" w:eastAsia="黑体"/>
      <w:b/>
      <w:sz w:val="24"/>
    </w:rPr>
  </w:style>
  <w:style w:type="paragraph" w:styleId="9">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firstLine="402"/>
      <w:outlineLvl w:val="6"/>
    </w:pPr>
    <w:rPr>
      <w:b/>
      <w:sz w:val="24"/>
    </w:rPr>
  </w:style>
  <w:style w:type="paragraph" w:styleId="10">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firstLine="402"/>
      <w:outlineLvl w:val="7"/>
    </w:pPr>
    <w:rPr>
      <w:rFonts w:ascii="Arial" w:hAnsi="Arial" w:eastAsia="黑体"/>
      <w:sz w:val="24"/>
    </w:rPr>
  </w:style>
  <w:style w:type="paragraph" w:styleId="11">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firstLine="402"/>
      <w:outlineLvl w:val="8"/>
    </w:pPr>
    <w:rPr>
      <w:rFonts w:ascii="Arial" w:hAnsi="Arial" w:eastAsia="黑体"/>
      <w:sz w:val="21"/>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99"/>
    <w:pPr>
      <w:jc w:val="left"/>
    </w:pPr>
    <w:rPr>
      <w:kern w:val="0"/>
    </w:rPr>
  </w:style>
  <w:style w:type="paragraph" w:styleId="12">
    <w:name w:val="footer"/>
    <w:basedOn w:val="1"/>
    <w:next w:val="2"/>
    <w:qFormat/>
    <w:uiPriority w:val="99"/>
    <w:pPr>
      <w:tabs>
        <w:tab w:val="center" w:pos="4153"/>
        <w:tab w:val="right" w:pos="8306"/>
      </w:tabs>
      <w:snapToGrid w:val="0"/>
      <w:jc w:val="left"/>
    </w:pPr>
    <w:rPr>
      <w:sz w:val="18"/>
      <w:szCs w:val="18"/>
    </w:rPr>
  </w:style>
  <w:style w:type="character" w:customStyle="1" w:styleId="15">
    <w:name w:val="标题 1 Char"/>
    <w:link w:val="3"/>
    <w:qFormat/>
    <w:uiPriority w:val="0"/>
    <w:rPr>
      <w:rFonts w:ascii="黑体" w:hAnsi="黑体" w:eastAsia="宋体"/>
      <w:b/>
      <w:sz w:val="44"/>
    </w:rPr>
  </w:style>
  <w:style w:type="character" w:customStyle="1" w:styleId="16">
    <w:name w:val="标题 2 Char"/>
    <w:link w:val="4"/>
    <w:qFormat/>
    <w:uiPriority w:val="0"/>
    <w:rPr>
      <w:rFonts w:ascii="黑体" w:hAnsi="黑体" w:eastAsia="宋体"/>
      <w:b/>
      <w:sz w:val="4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1087</Words>
  <Characters>1140</Characters>
  <Lines>0</Lines>
  <Paragraphs>0</Paragraphs>
  <TotalTime>0</TotalTime>
  <ScaleCrop>false</ScaleCrop>
  <LinksUpToDate>false</LinksUpToDate>
  <CharactersWithSpaces>1140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2026-05-18T09:58:00Z</dcterms:created>
  <dc:creator>陕西华采招标有限公司</dc:creator>
  <cp:lastModifiedBy>陕西华采招标有限公司</cp:lastModifiedBy>
  <cp:lastPrinted>2026-06-09T00:10:00Z</cp:lastPrinted>
  <dcterms:modified xsi:type="dcterms:W3CDTF">2026-09-20T09:43:35Z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F5C5D046498C4BFE9F949850644E6934_11</vt:lpwstr>
  </property>
  <property fmtid="{D5CDD505-2E9C-101B-9397-08002B2CF9AE}" pid="4" name="KSOTemplateDocerSaveRecord">
    <vt:lpwstr>eyJoZGlkIjoiNzlkYjQxZmY4MWQ0ZWY2YTZhOTY1MTMyMDgzMmE0NmEiLCJ1c2VySWQiOiI5MzY1NjA0ODAifQ==</vt:lpwstr>
  </property>
</Properties>
</file>