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4D8EF1">
      <w:pPr>
        <w:pStyle w:val="4"/>
        <w:spacing w:line="480" w:lineRule="exact"/>
        <w:jc w:val="center"/>
      </w:pPr>
      <w:r>
        <w:rPr>
          <w:rFonts w:ascii="仿宋_GB2312" w:hAnsi="仿宋_GB2312" w:eastAsia="仿宋_GB2312" w:cs="仿宋_GB2312"/>
          <w:b/>
          <w:sz w:val="36"/>
        </w:rPr>
        <w:t>神木市兰炭产业特色园区皮卡车和便携空气质量传感网络监测仪及压缩式垃圾车采购项目招标公告</w:t>
      </w:r>
    </w:p>
    <w:p w14:paraId="4FBCBADC">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项目概况</w:t>
      </w:r>
    </w:p>
    <w:p w14:paraId="5C38BE06">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神木市兰炭产业特色园区皮卡车和便携空气质量传感网络监测仪及压缩式垃圾车采购项目招标项目的潜在投标人应在全国公共资源交易中心平台 (陕西省) 使用 CA 锁报名后自行下载获取采购文件获取招标文件，并于 2026年10月09日 13时30分 （北京时间）前递交投标文件。</w:t>
      </w:r>
    </w:p>
    <w:p w14:paraId="3CBE7155">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一、项目基本情况</w:t>
      </w:r>
    </w:p>
    <w:p w14:paraId="3B4B9506">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项目编号：SXXH-CG26-069</w:t>
      </w:r>
    </w:p>
    <w:p w14:paraId="4935A110">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项目名称：神木市兰炭产业特色园区皮卡车和便携空气质量传感网络监测仪及压缩式垃圾车采购项目</w:t>
      </w:r>
    </w:p>
    <w:p w14:paraId="4B6C696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采购方式：公开招标</w:t>
      </w:r>
    </w:p>
    <w:p w14:paraId="122044D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预算金额：1,200,000.00元</w:t>
      </w:r>
    </w:p>
    <w:p w14:paraId="0A65945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采购需求：</w:t>
      </w:r>
    </w:p>
    <w:p w14:paraId="174F738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合同包1(神木市兰炭产业特色园区皮卡车和便携空气质量传感网络监测仪及压缩式垃圾车采购项目):</w:t>
      </w:r>
    </w:p>
    <w:p w14:paraId="0A503032">
      <w:pPr>
        <w:pStyle w:val="4"/>
        <w:keepNext w:val="0"/>
        <w:keepLines w:val="0"/>
        <w:pageBreakBefore w:val="0"/>
        <w:widowControl/>
        <w:kinsoku/>
        <w:wordWrap/>
        <w:overflowPunct/>
        <w:topLinePunct w:val="0"/>
        <w:autoSpaceDE/>
        <w:autoSpaceDN/>
        <w:bidi w:val="0"/>
        <w:adjustRightInd/>
        <w:snapToGrid/>
        <w:spacing w:line="360" w:lineRule="auto"/>
        <w:ind w:left="0" w:firstLine="63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合同包预算金额：1,200,000.00元</w:t>
      </w:r>
    </w:p>
    <w:p w14:paraId="3BE42543">
      <w:pPr>
        <w:pStyle w:val="4"/>
        <w:keepNext w:val="0"/>
        <w:keepLines w:val="0"/>
        <w:pageBreakBefore w:val="0"/>
        <w:widowControl/>
        <w:kinsoku/>
        <w:wordWrap/>
        <w:overflowPunct/>
        <w:topLinePunct w:val="0"/>
        <w:autoSpaceDE/>
        <w:autoSpaceDN/>
        <w:bidi w:val="0"/>
        <w:adjustRightInd/>
        <w:snapToGrid/>
        <w:spacing w:line="360" w:lineRule="auto"/>
        <w:ind w:left="0" w:firstLine="63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合同包最高限价：1,200,000.00元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76"/>
      </w:tblGrid>
      <w:tr w14:paraId="627BBD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B171BAB">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品目号</w:t>
            </w:r>
          </w:p>
        </w:tc>
        <w:tc>
          <w:tcPr>
            <w:tcW w:w="1384" w:type="dxa"/>
          </w:tcPr>
          <w:p w14:paraId="1FC82AC9">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品目名称</w:t>
            </w:r>
          </w:p>
        </w:tc>
        <w:tc>
          <w:tcPr>
            <w:tcW w:w="1384" w:type="dxa"/>
          </w:tcPr>
          <w:p w14:paraId="653D60A8">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采购标的</w:t>
            </w:r>
          </w:p>
        </w:tc>
        <w:tc>
          <w:tcPr>
            <w:tcW w:w="1384" w:type="dxa"/>
          </w:tcPr>
          <w:p w14:paraId="1360B2B0">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数量（单位）</w:t>
            </w:r>
          </w:p>
        </w:tc>
        <w:tc>
          <w:tcPr>
            <w:tcW w:w="1384" w:type="dxa"/>
          </w:tcPr>
          <w:p w14:paraId="29C2720B">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技术规格、参数及要求</w:t>
            </w:r>
          </w:p>
        </w:tc>
        <w:tc>
          <w:tcPr>
            <w:tcW w:w="1384" w:type="dxa"/>
          </w:tcPr>
          <w:p w14:paraId="2F8BE88B">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品目预算(元)</w:t>
            </w:r>
          </w:p>
        </w:tc>
      </w:tr>
      <w:tr w14:paraId="7F21D6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ABC364E">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1-1</w:t>
            </w:r>
          </w:p>
        </w:tc>
        <w:tc>
          <w:tcPr>
            <w:tcW w:w="1384" w:type="dxa"/>
          </w:tcPr>
          <w:p w14:paraId="5E2B4A54">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其他车辆</w:t>
            </w:r>
          </w:p>
        </w:tc>
        <w:tc>
          <w:tcPr>
            <w:tcW w:w="1384" w:type="dxa"/>
          </w:tcPr>
          <w:p w14:paraId="06B207F7">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w:t>
            </w:r>
          </w:p>
        </w:tc>
        <w:tc>
          <w:tcPr>
            <w:tcW w:w="1384" w:type="dxa"/>
          </w:tcPr>
          <w:p w14:paraId="5CD8E9C4">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1(1200000)</w:t>
            </w:r>
          </w:p>
        </w:tc>
        <w:tc>
          <w:tcPr>
            <w:tcW w:w="1384" w:type="dxa"/>
          </w:tcPr>
          <w:p w14:paraId="3A7D6C42">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详见采购文件</w:t>
            </w:r>
          </w:p>
        </w:tc>
        <w:tc>
          <w:tcPr>
            <w:tcW w:w="1384" w:type="dxa"/>
          </w:tcPr>
          <w:p w14:paraId="3668F36A">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1,200,000.00</w:t>
            </w:r>
          </w:p>
        </w:tc>
      </w:tr>
    </w:tbl>
    <w:p w14:paraId="24BEABB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本合同包不接受联合体投标</w:t>
      </w:r>
    </w:p>
    <w:p w14:paraId="25EE513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合同履行期限：自合同签订之日起10日历天</w:t>
      </w:r>
    </w:p>
    <w:p w14:paraId="6B21AC84">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二、申请人的资格要求：</w:t>
      </w:r>
    </w:p>
    <w:p w14:paraId="3B330BE9">
      <w:pPr>
        <w:pStyle w:val="4"/>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466C5F4F">
      <w:pPr>
        <w:pStyle w:val="4"/>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p>
    <w:p w14:paraId="4AACACA5">
      <w:pPr>
        <w:pStyle w:val="4"/>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合同包1(神木市兰炭产业特色园区皮卡车和便携空气质量传感网络监测仪及压缩式垃圾车采购项目)落实政府采购政策需满足的资格要求如下:</w:t>
      </w:r>
    </w:p>
    <w:p w14:paraId="2EA15462">
      <w:pPr>
        <w:pStyle w:val="4"/>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(1)《财政部国家发展改革委关于印发&lt;节能产品政府采购实施意见&gt;的通知》(财库[2004] 185 号) ；</w:t>
      </w:r>
      <w:r>
        <w:rPr>
          <w:rFonts w:hint="eastAsia" w:ascii="宋体" w:hAnsi="宋体" w:eastAsia="宋体" w:cs="宋体"/>
          <w:sz w:val="21"/>
          <w:szCs w:val="21"/>
        </w:rPr>
        <w:br w:type="textWrapping"/>
      </w:r>
      <w:r>
        <w:rPr>
          <w:rFonts w:hint="eastAsia" w:ascii="宋体" w:hAnsi="宋体" w:eastAsia="宋体" w:cs="宋体"/>
          <w:sz w:val="21"/>
          <w:szCs w:val="21"/>
        </w:rPr>
        <w:t>(2)《国务院办公厅关于建立政府强制采购节能产品制度的通知》(国办发〔2007〕51号；</w:t>
      </w:r>
      <w:r>
        <w:rPr>
          <w:rFonts w:hint="eastAsia" w:ascii="宋体" w:hAnsi="宋体" w:eastAsia="宋体" w:cs="宋体"/>
          <w:sz w:val="21"/>
          <w:szCs w:val="21"/>
        </w:rPr>
        <w:br w:type="textWrapping"/>
      </w:r>
      <w:r>
        <w:rPr>
          <w:rFonts w:hint="eastAsia" w:ascii="宋体" w:hAnsi="宋体" w:eastAsia="宋体" w:cs="宋体"/>
          <w:sz w:val="21"/>
          <w:szCs w:val="21"/>
        </w:rPr>
        <w:t>(3)《财政部环保总局关于环境标志产品政府采购实施的意见》(财库[2006]90 号)；</w:t>
      </w:r>
      <w:r>
        <w:rPr>
          <w:rFonts w:hint="eastAsia" w:ascii="宋体" w:hAnsi="宋体" w:eastAsia="宋体" w:cs="宋体"/>
          <w:sz w:val="21"/>
          <w:szCs w:val="21"/>
        </w:rPr>
        <w:br w:type="textWrapping"/>
      </w:r>
      <w:r>
        <w:rPr>
          <w:rFonts w:hint="eastAsia" w:ascii="宋体" w:hAnsi="宋体" w:eastAsia="宋体" w:cs="宋体"/>
          <w:sz w:val="21"/>
          <w:szCs w:val="21"/>
        </w:rPr>
        <w:t>(4)《财政部司法部关于政府采购支持监狱企业发展有关问题的通知》(财库〔2014〕68 号) ；</w:t>
      </w:r>
      <w:r>
        <w:rPr>
          <w:rFonts w:hint="eastAsia" w:ascii="宋体" w:hAnsi="宋体" w:eastAsia="宋体" w:cs="宋体"/>
          <w:sz w:val="21"/>
          <w:szCs w:val="21"/>
        </w:rPr>
        <w:br w:type="textWrapping"/>
      </w:r>
      <w:r>
        <w:rPr>
          <w:rFonts w:hint="eastAsia" w:ascii="宋体" w:hAnsi="宋体" w:eastAsia="宋体" w:cs="宋体"/>
          <w:sz w:val="21"/>
          <w:szCs w:val="21"/>
        </w:rPr>
        <w:t>(5)《财政部、民政部、中国残疾人联合会关于促进残疾人就业政府采购政策的通知》(财库[2017] 141号) ；</w:t>
      </w:r>
      <w:r>
        <w:rPr>
          <w:rFonts w:hint="eastAsia" w:ascii="宋体" w:hAnsi="宋体" w:eastAsia="宋体" w:cs="宋体"/>
          <w:sz w:val="21"/>
          <w:szCs w:val="21"/>
        </w:rPr>
        <w:br w:type="textWrapping"/>
      </w:r>
      <w:r>
        <w:rPr>
          <w:rFonts w:hint="eastAsia" w:ascii="宋体" w:hAnsi="宋体" w:eastAsia="宋体" w:cs="宋体"/>
          <w:sz w:val="21"/>
          <w:szCs w:val="21"/>
        </w:rPr>
        <w:t>(6)《财政部 发展改革委 生态环境部 市场监管总局关于调整优化节能产品、环境标志产 品政府采购执行机制的通知》(财库〔2019〕9号) ；</w:t>
      </w:r>
      <w:r>
        <w:rPr>
          <w:rFonts w:hint="eastAsia" w:ascii="宋体" w:hAnsi="宋体" w:eastAsia="宋体" w:cs="宋体"/>
          <w:sz w:val="21"/>
          <w:szCs w:val="21"/>
        </w:rPr>
        <w:br w:type="textWrapping"/>
      </w:r>
      <w:r>
        <w:rPr>
          <w:rFonts w:hint="eastAsia" w:ascii="宋体" w:hAnsi="宋体" w:eastAsia="宋体" w:cs="宋体"/>
          <w:sz w:val="21"/>
          <w:szCs w:val="21"/>
        </w:rPr>
        <w:t>(7)《关于运用政府采购政策支持乡村产业振兴的通知》(财库〔2021〕19号)；</w:t>
      </w:r>
      <w:r>
        <w:rPr>
          <w:rFonts w:hint="eastAsia" w:ascii="宋体" w:hAnsi="宋体" w:eastAsia="宋体" w:cs="宋体"/>
          <w:sz w:val="21"/>
          <w:szCs w:val="21"/>
        </w:rPr>
        <w:br w:type="textWrapping"/>
      </w:r>
      <w:r>
        <w:rPr>
          <w:rFonts w:hint="eastAsia" w:ascii="宋体" w:hAnsi="宋体" w:eastAsia="宋体" w:cs="宋体"/>
          <w:sz w:val="21"/>
          <w:szCs w:val="21"/>
        </w:rPr>
        <w:t>(8)《政府采购促进中小企业发展管理办法》(财库〔2020〕46号) ；</w:t>
      </w:r>
      <w:r>
        <w:rPr>
          <w:rFonts w:hint="eastAsia" w:ascii="宋体" w:hAnsi="宋体" w:eastAsia="宋体" w:cs="宋体"/>
          <w:sz w:val="21"/>
          <w:szCs w:val="21"/>
        </w:rPr>
        <w:br w:type="textWrapping"/>
      </w:r>
      <w:r>
        <w:rPr>
          <w:rFonts w:hint="eastAsia" w:ascii="宋体" w:hAnsi="宋体" w:eastAsia="宋体" w:cs="宋体"/>
          <w:sz w:val="21"/>
          <w:szCs w:val="21"/>
        </w:rPr>
        <w:t>(9)《陕西省财政厅关于印发&lt;陕西省中小企业政府采购信用融资办法&gt;的通知》(陕财办采〔2018〕23号)。</w:t>
      </w:r>
      <w:r>
        <w:rPr>
          <w:rFonts w:hint="eastAsia" w:ascii="宋体" w:hAnsi="宋体" w:eastAsia="宋体" w:cs="宋体"/>
          <w:sz w:val="21"/>
          <w:szCs w:val="21"/>
        </w:rPr>
        <w:br w:type="textWrapping"/>
      </w:r>
      <w:r>
        <w:rPr>
          <w:rFonts w:hint="eastAsia" w:ascii="宋体" w:hAnsi="宋体" w:eastAsia="宋体" w:cs="宋体"/>
          <w:sz w:val="21"/>
          <w:szCs w:val="21"/>
        </w:rPr>
        <w:t>(10) 陕西省财政厅《关于进一步加强政府绿色采购有关问题的通知》(陕采办〔2021〕29号) ；</w:t>
      </w:r>
      <w:r>
        <w:rPr>
          <w:rFonts w:hint="eastAsia" w:ascii="宋体" w:hAnsi="宋体" w:eastAsia="宋体" w:cs="宋体"/>
          <w:sz w:val="21"/>
          <w:szCs w:val="21"/>
        </w:rPr>
        <w:br w:type="textWrapping"/>
      </w:r>
      <w:r>
        <w:rPr>
          <w:rFonts w:hint="eastAsia" w:ascii="宋体" w:hAnsi="宋体" w:eastAsia="宋体" w:cs="宋体"/>
          <w:sz w:val="21"/>
          <w:szCs w:val="21"/>
        </w:rPr>
        <w:t>(11)《关于进一步加大政府采购支持中小企业力度的通知》(财库〔2022〕19 号)</w:t>
      </w:r>
      <w:r>
        <w:rPr>
          <w:rFonts w:hint="eastAsia" w:ascii="宋体" w:hAnsi="宋体" w:eastAsia="宋体" w:cs="宋体"/>
          <w:sz w:val="21"/>
          <w:szCs w:val="21"/>
        </w:rPr>
        <w:br w:type="textWrapping"/>
      </w:r>
      <w:r>
        <w:rPr>
          <w:rFonts w:hint="eastAsia" w:ascii="宋体" w:hAnsi="宋体" w:eastAsia="宋体" w:cs="宋体"/>
          <w:sz w:val="21"/>
          <w:szCs w:val="21"/>
        </w:rPr>
        <w:t>(12) 《关于扩大政府采购支持绿色建材促进建筑品质提升政策实施范围的通知》(财库〔2022〕35 号)。</w:t>
      </w:r>
    </w:p>
    <w:p w14:paraId="7CEF93BD">
      <w:pPr>
        <w:pStyle w:val="4"/>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3.本项目的特定资格要求：</w:t>
      </w:r>
    </w:p>
    <w:p w14:paraId="701CC460">
      <w:pPr>
        <w:pStyle w:val="4"/>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合同包1(神木市兰炭产业特色园区皮卡车和便携空气质量传感网络监测仪及压缩式垃圾车采购项目)特定资格要求如下:</w:t>
      </w:r>
    </w:p>
    <w:p w14:paraId="003E6AE7">
      <w:pPr>
        <w:pStyle w:val="4"/>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lang w:val="en-US" w:eastAsia="zh-Hans"/>
        </w:rPr>
        <w:t>（1）</w:t>
      </w:r>
      <w:r>
        <w:rPr>
          <w:rFonts w:hint="eastAsia" w:ascii="宋体" w:hAnsi="宋体" w:eastAsia="宋体" w:cs="宋体"/>
          <w:sz w:val="21"/>
          <w:szCs w:val="21"/>
        </w:rPr>
        <w:t>投标人须具有独立承担民事责任的能力（提供有效的营业执照或自然人的身份证明）；若为代理商须提供制造商针对本项目的授权书。</w:t>
      </w:r>
    </w:p>
    <w:p w14:paraId="1ED61DDB">
      <w:pPr>
        <w:pStyle w:val="4"/>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（2）项目负责人须提供投标截止时间前六个月内任意一个月本单位为其缴纳的社保证明（五险一金任意一项均可）；</w:t>
      </w:r>
    </w:p>
    <w:p w14:paraId="09C71385">
      <w:pPr>
        <w:pStyle w:val="4"/>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3）社会保障资金缴纳证明：投标人须提供投标截止时间前六个月内任意一个月的社会保障资金银行缴费单据或养老机构开具的社会养老保险参保缴费情况证明，依法不需要缴纳社会保障资金的单位应提供相关证明材料；</w:t>
      </w:r>
    </w:p>
    <w:p w14:paraId="77A04625">
      <w:pPr>
        <w:pStyle w:val="4"/>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rPr>
        <w:t>（4）税收缴纳证明：投标人须提供投标截止时间前六个月内任意一个月的纳税证明（银行缴费凭证）或完税证明，依法免税的单位应提供相关证明材料；</w:t>
      </w:r>
      <w:r>
        <w:rPr>
          <w:rFonts w:hint="eastAsia" w:ascii="宋体" w:hAnsi="宋体" w:eastAsia="宋体" w:cs="宋体"/>
          <w:sz w:val="21"/>
          <w:szCs w:val="21"/>
          <w:lang w:val="en-US" w:eastAsia="zh-CN"/>
        </w:rPr>
        <w:t xml:space="preserve"> </w:t>
      </w:r>
    </w:p>
    <w:p w14:paraId="6220F08B">
      <w:pPr>
        <w:pStyle w:val="4"/>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5）财务状况报告：供应商提供2025年度赋码财务审计报告（包括审计报告、资产负债表、利润表、现金流量表、会计报表附注或财务情况说明书等）并提供注册会计师行业统一监管平台（http://acc.mof.gov.cn/）报备的财务审计报告网页查询截图；2026年至今新成立的公司须提供基本银行资信证明。</w:t>
      </w:r>
    </w:p>
    <w:p w14:paraId="79DF1193">
      <w:pPr>
        <w:pStyle w:val="4"/>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6）投标人在“信用中国”网站（www.creditchina.gov.cn）上未被列入严重失信主体名单、重大税收违法失信主体，在中国执行信息公开网（https://zxgk.court.gov.cn/shixin/）未被列入失信被执行人，中国政府采购网（www.ccgp.gov.cn）未被列入严重违法失信行为记录名单（提供网站截图）；</w:t>
      </w:r>
    </w:p>
    <w:p w14:paraId="2C983BBC">
      <w:pPr>
        <w:pStyle w:val="4"/>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（7）具有履行合同所必需的设备和专业技术能力（提供承诺书）</w:t>
      </w:r>
    </w:p>
    <w:p w14:paraId="3274600A">
      <w:pPr>
        <w:pStyle w:val="4"/>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（8）书面声明：参加本次政府采购活动前三年内在经营活动中没有重大违法记录的声明函</w:t>
      </w:r>
    </w:p>
    <w:p w14:paraId="584EB8B8">
      <w:pPr>
        <w:pStyle w:val="4"/>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b/>
          <w:bCs/>
          <w:sz w:val="21"/>
          <w:szCs w:val="21"/>
        </w:rPr>
      </w:pPr>
      <w:r>
        <w:rPr>
          <w:rFonts w:hint="eastAsia" w:ascii="宋体" w:hAnsi="宋体" w:eastAsia="宋体" w:cs="宋体"/>
          <w:sz w:val="21"/>
          <w:szCs w:val="21"/>
        </w:rPr>
        <w:t>（9）投标人所投车型需列入中华人民共和国工业和信息化部《道路机动车辆生产企业及产品公告》目录（提供网站截图）</w:t>
      </w:r>
      <w:r>
        <w:rPr>
          <w:rFonts w:hint="eastAsia" w:ascii="宋体" w:hAnsi="宋体" w:eastAsia="宋体" w:cs="宋体"/>
          <w:sz w:val="21"/>
          <w:szCs w:val="21"/>
        </w:rPr>
        <w:br w:type="textWrapping"/>
      </w:r>
      <w:r>
        <w:rPr>
          <w:rFonts w:hint="eastAsia" w:ascii="宋体" w:hAnsi="宋体" w:eastAsia="宋体" w:cs="宋体"/>
          <w:b/>
          <w:bCs/>
          <w:sz w:val="21"/>
          <w:szCs w:val="21"/>
        </w:rPr>
        <w:t>备注：1.本项目不接受联合体投标、不允许分包、转包，单位负责人为同一人或者存在直接控股、管理关系的不同投标人，不得参加同一合同项下的政府采购活动；</w:t>
      </w:r>
      <w:r>
        <w:rPr>
          <w:rFonts w:hint="eastAsia" w:ascii="宋体" w:hAnsi="宋体" w:eastAsia="宋体" w:cs="宋体"/>
          <w:b/>
          <w:bCs/>
          <w:sz w:val="21"/>
          <w:szCs w:val="21"/>
        </w:rPr>
        <w:br w:type="textWrapping"/>
      </w:r>
      <w:r>
        <w:rPr>
          <w:rFonts w:hint="eastAsia" w:ascii="宋体" w:hAnsi="宋体" w:eastAsia="宋体" w:cs="宋体"/>
          <w:b/>
          <w:bCs/>
          <w:sz w:val="21"/>
          <w:szCs w:val="21"/>
        </w:rPr>
        <w:t>2.为本项目提供整体设计、项目管理、监理、检测等服务的投标人，不得再参加该采购项目的其他采购活动。</w:t>
      </w:r>
      <w:r>
        <w:rPr>
          <w:rFonts w:hint="eastAsia" w:ascii="宋体" w:hAnsi="宋体" w:eastAsia="宋体" w:cs="宋体"/>
          <w:b/>
          <w:bCs/>
          <w:sz w:val="21"/>
          <w:szCs w:val="21"/>
        </w:rPr>
        <w:br w:type="textWrapping"/>
      </w:r>
      <w:r>
        <w:rPr>
          <w:rFonts w:hint="eastAsia" w:ascii="宋体" w:hAnsi="宋体" w:eastAsia="宋体" w:cs="宋体"/>
          <w:b/>
          <w:bCs/>
          <w:sz w:val="21"/>
          <w:szCs w:val="21"/>
        </w:rPr>
        <w:t>3.本项目非专门面向中小企业采购(小微企业须提供小微企业声明函。未提供上述声明函的，不能享受招标文件规定的价格扣除，但不影响投标文件的有效性)</w:t>
      </w:r>
      <w:r>
        <w:rPr>
          <w:rFonts w:hint="eastAsia" w:ascii="宋体" w:hAnsi="宋体" w:eastAsia="宋体" w:cs="宋体"/>
          <w:b/>
          <w:bCs/>
          <w:sz w:val="21"/>
          <w:szCs w:val="21"/>
        </w:rPr>
        <w:br w:type="textWrapping"/>
      </w:r>
      <w:r>
        <w:rPr>
          <w:rFonts w:hint="eastAsia" w:ascii="宋体" w:hAnsi="宋体" w:eastAsia="宋体" w:cs="宋体"/>
          <w:b/>
          <w:bCs/>
          <w:sz w:val="21"/>
          <w:szCs w:val="21"/>
        </w:rPr>
        <w:t>4.上述资质为必备资质，欠缺其中任何一项或未按要求提供的，按无效响应文件处理。</w:t>
      </w:r>
    </w:p>
    <w:p w14:paraId="48847F0D">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三、获取招标文件</w:t>
      </w:r>
    </w:p>
    <w:p w14:paraId="2795D1EF">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时间： 2026年09月16日 至 2026年09月23日 ，每天上午 09:00:00 至 12:00:00 ，下午 12:00:00 至 17:00:00 （北京时间）</w:t>
      </w:r>
    </w:p>
    <w:p w14:paraId="71A047CF">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途径：全国公共资源交易中心平台 (陕西省) 使用 CA 锁报名后自行下载获取采购文件</w:t>
      </w:r>
    </w:p>
    <w:p w14:paraId="3F1BB0A4">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方式：在线获取</w:t>
      </w:r>
    </w:p>
    <w:p w14:paraId="1D2D13C5">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售价： 0元</w:t>
      </w:r>
    </w:p>
    <w:p w14:paraId="61B8C840">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四、提交投标文件截止时间、开标时间和地点</w:t>
      </w:r>
    </w:p>
    <w:p w14:paraId="06E8CE83">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时间： 2026年10月09日 13时30分00秒 （北京时间）</w:t>
      </w:r>
    </w:p>
    <w:p w14:paraId="45298531">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提交投标文件地点：</w:t>
      </w:r>
      <w:bookmarkStart w:id="0" w:name="_GoBack"/>
      <w:r>
        <w:rPr>
          <w:rFonts w:hint="eastAsia" w:ascii="宋体" w:hAnsi="宋体" w:eastAsia="宋体" w:cs="宋体"/>
          <w:sz w:val="21"/>
          <w:szCs w:val="21"/>
        </w:rPr>
        <w:t>榆林市公共资源交易中心18楼开标室1802A</w:t>
      </w:r>
      <w:bookmarkEnd w:id="0"/>
    </w:p>
    <w:p w14:paraId="0BA8D47F">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开标地点：榆林市公共资源交易中心18楼开标室1802A</w:t>
      </w:r>
    </w:p>
    <w:p w14:paraId="61703C50">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五、公告期限</w:t>
      </w:r>
    </w:p>
    <w:p w14:paraId="7D1E3C27">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自本公告发布之日起5个工作日。</w:t>
      </w:r>
    </w:p>
    <w:p w14:paraId="48E48E9A">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六、其他补充事宜</w:t>
      </w:r>
    </w:p>
    <w:p w14:paraId="33AA0A45">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招标文件下载方式：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w:t>
      </w:r>
    </w:p>
    <w:p w14:paraId="1CED44A2">
      <w:pPr>
        <w:pStyle w:val="4"/>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2、特别提醒：本项目采用电子化不见面开标方式，投标人使用数字认证证书(CA 锁)对响 应文件进行签章、加密、上传、签到、解密。不见面开标系统的签到和响应文件解密事宜请 登录全国公共资源交易平台(陕西省榆林市)(http://yl.sxggzyjy.cn/)，选择“服务指南”，点击“下载专区”，点击榆林不见面开标系统操作手册 (投标人) 、榆林不见面开标大厅投 标人询标操作手册V1.0，请投标人仔细阅读操作手册，了解操作流程，熟练掌握不见面开标、不见面询标操作相关事宜，若无法正常投标，投标人自行承担责任。电子响应文件制作软件技术支持热线：400-998-0000 新的CA办理窗口为：市民大厦3楼E18、E19窗口，联系电话：0912-3452148</w:t>
      </w:r>
    </w:p>
    <w:p w14:paraId="53993846">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七、对本次招标提出询问，请按以下方式联系。</w:t>
      </w:r>
    </w:p>
    <w:p w14:paraId="3CE3392A">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1.采购人信息</w:t>
      </w:r>
    </w:p>
    <w:p w14:paraId="00E54577">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名称：神木市兰炭产业特色园区管理委员会</w:t>
      </w:r>
    </w:p>
    <w:p w14:paraId="71450683">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地址：神木市柠条塔工业园区</w:t>
      </w:r>
    </w:p>
    <w:p w14:paraId="3429E2E6">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联系方式：15809123386</w:t>
      </w:r>
    </w:p>
    <w:p w14:paraId="2530C2CC">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2.采购代理机构信息</w:t>
      </w:r>
    </w:p>
    <w:p w14:paraId="491569B7">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名称：陕西西禾工程项目管理有限公司</w:t>
      </w:r>
    </w:p>
    <w:p w14:paraId="073D09E8">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地址：陕西省西安市雁塔区陕西省西安市高新区丈八街办太白南路22号坤元SOHO2号楼1804室</w:t>
      </w:r>
    </w:p>
    <w:p w14:paraId="21D454C2">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联系方式：15029956314</w:t>
      </w:r>
    </w:p>
    <w:p w14:paraId="323D3A83">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3.项目联系方式</w:t>
      </w:r>
    </w:p>
    <w:p w14:paraId="3A40E0AC">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项目联系人：翁红艳</w:t>
      </w:r>
    </w:p>
    <w:p w14:paraId="4B132A3E">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电话：15029956314</w:t>
      </w:r>
    </w:p>
    <w:p w14:paraId="43184A97">
      <w:pPr>
        <w:pStyle w:val="4"/>
        <w:keepNext w:val="0"/>
        <w:keepLines w:val="0"/>
        <w:pageBreakBefore w:val="0"/>
        <w:widowControl/>
        <w:kinsoku/>
        <w:wordWrap/>
        <w:overflowPunct/>
        <w:topLinePunct w:val="0"/>
        <w:autoSpaceDE/>
        <w:autoSpaceDN/>
        <w:bidi w:val="0"/>
        <w:adjustRightInd/>
        <w:snapToGrid/>
        <w:spacing w:line="360" w:lineRule="auto"/>
        <w:ind w:left="0"/>
        <w:jc w:val="left"/>
        <w:textAlignment w:val="auto"/>
        <w:outlineLvl w:val="9"/>
        <w:rPr>
          <w:rFonts w:hint="eastAsia" w:ascii="宋体" w:hAnsi="宋体" w:eastAsia="宋体" w:cs="宋体"/>
          <w:sz w:val="21"/>
          <w:szCs w:val="21"/>
        </w:rPr>
      </w:pPr>
    </w:p>
    <w:p w14:paraId="532D0C9F">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9640987"/>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2666</Words>
  <Characters>3110</Characters>
  <Lines>0</Lines>
  <Paragraphs>0</Paragraphs>
  <TotalTime>2</TotalTime>
  <ScaleCrop>false</ScaleCrop>
  <LinksUpToDate>false</LinksUpToDate>
  <CharactersWithSpaces>3167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cp:lastModifiedBy>
  <dcterms:modified xsi:type="dcterms:W3CDTF">2026-09-15T05:35:23Z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eyJoZGlkIjoiMjcyMGY0NGQ4ZjdjODA2YjdhNThkNjI1ZmViNWIxYTgiLCJ1c2VySWQiOiIyNTEzNzM5NjkifQ==</vt:lpwstr>
  </property>
  <property fmtid="{D5CDD505-2E9C-101B-9397-08002B2CF9AE}" pid="4" name="ICV">
    <vt:lpwstr>EED5477253184972B16B38B8B094504B_12</vt:lpwstr>
  </property>
</Properties>
</file>