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版本号：SXZJF2026-CS02220260814001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2026年宁强县域生态环境质量监测技术服务采购项目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SXZJF2026-CS022</w:t>
      </w:r>
      <w:r>
        <w:br/>
      </w:r>
      <w:r>
        <w:br/>
      </w:r>
      <w:r>
        <w:br/>
      </w:r>
    </w:p>
    <w:p>
      <w:pPr>
        <w:pStyle w:val="null3"/>
        <w:jc w:val="center"/>
        <w:outlineLvl w:val="2"/>
      </w:pPr>
      <w:r>
        <w:rPr>
          <w:rFonts w:ascii="仿宋_GB2312" w:hAnsi="仿宋_GB2312" w:cs="仿宋_GB2312" w:eastAsia="仿宋_GB2312"/>
          <w:sz w:val="28"/>
          <w:b/>
        </w:rPr>
        <w:t>汉中市生态环境局宁强分局</w:t>
      </w:r>
    </w:p>
    <w:p>
      <w:pPr>
        <w:pStyle w:val="null3"/>
        <w:jc w:val="center"/>
        <w:outlineLvl w:val="2"/>
      </w:pPr>
      <w:r>
        <w:rPr>
          <w:rFonts w:ascii="仿宋_GB2312" w:hAnsi="仿宋_GB2312" w:cs="仿宋_GB2312" w:eastAsia="仿宋_GB2312"/>
          <w:sz w:val="28"/>
          <w:b/>
        </w:rPr>
        <w:t>陕西中久福项目咨询管理有限公司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陕西中久福项目咨询管理有限公司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汉中市生态环境局宁强分局</w:t>
      </w:r>
      <w:r>
        <w:rPr>
          <w:rFonts w:ascii="仿宋_GB2312" w:hAnsi="仿宋_GB2312" w:cs="仿宋_GB2312" w:eastAsia="仿宋_GB2312"/>
        </w:rPr>
        <w:t>委托，拟对</w:t>
      </w:r>
      <w:r>
        <w:rPr>
          <w:rFonts w:ascii="仿宋_GB2312" w:hAnsi="仿宋_GB2312" w:cs="仿宋_GB2312" w:eastAsia="仿宋_GB2312"/>
        </w:rPr>
        <w:t>2026年宁强县域生态环境质量监测技术服务采购项目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SXZJF2026-CS022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2026年宁强县域生态环境质量监测技术服务采购项目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按照《2026年宁强县⽣态环境监测⽅案》要求，按时限完成地表⽔、饮⽤⽔源地等监测任务。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采购包1（2026年宁强县域生态环境质量监测技术服务采购项目）：属于专门面向中小企业采购。</w:t>
      </w:r>
    </w:p>
    <w:p>
      <w:pPr>
        <w:pStyle w:val="null3"/>
      </w:pPr>
      <w:r>
        <w:rPr>
          <w:rFonts w:ascii="仿宋_GB2312" w:hAnsi="仿宋_GB2312" w:cs="仿宋_GB2312" w:eastAsia="仿宋_GB2312"/>
        </w:rPr>
        <w:t>供应商合同分包的，分包意向协议中分包意向供应商应当为中小企业。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具有独立承担民事责任能力的企业法人、事业法人、其他组织，提供营业执照复印件（事业单位须提供事业单位法人证、组织机构代码证等证明文件；其他组织应提供合法证明文件）【注：提供加盖公章的复印件】：具有独立承担民事责任的能力：供应商为具有独立承担民事责任能力的企业法人、事业法人、其他组织，提供营业执照复印件（事业单位须提供事业单位法人证、组织机构代码证等证明文件；其他组织应提供合法证明文件），供应商需在本项目电子化交易系统中按要求上传相关证明文件并签章；</w:t>
      </w:r>
    </w:p>
    <w:p>
      <w:pPr>
        <w:pStyle w:val="null3"/>
      </w:pPr>
      <w:r>
        <w:rPr>
          <w:rFonts w:ascii="仿宋_GB2312" w:hAnsi="仿宋_GB2312" w:cs="仿宋_GB2312" w:eastAsia="仿宋_GB2312"/>
        </w:rPr>
        <w:t>2、供应商提供具有有效的检验检测机构资质认定证书(CMA)，检测能力附表应具有水质、噪声、废气检测能力。【注：提供加盖公章的证照复印件；供应商需在本项目电子化交易系统中按要求上传相关证明文件并签章】：供应商提供具有有效的检验检测机构资质认定证书(CMA)，检测能力附表应具有水质、噪声、废气检测能力。供应商需在本项目电子化交易系统中按要求上传相关证明文件并签章；</w:t>
      </w:r>
    </w:p>
    <w:p>
      <w:pPr>
        <w:pStyle w:val="null3"/>
      </w:pPr>
      <w:r>
        <w:rPr>
          <w:rFonts w:ascii="仿宋_GB2312" w:hAnsi="仿宋_GB2312" w:cs="仿宋_GB2312" w:eastAsia="仿宋_GB2312"/>
        </w:rPr>
        <w:t>3、供应商应授权合法的人员参加本次竞争性磋商活动：其中法定代表人直接参加的，须出具法人身份证，并与营业执照上信息一致；授权代表参加的，须出具法定代表人授权书及被授权人身份证【注：提供加盖公章的证照复印件】：供应商应授权合法的人员参加本次竞争性磋商活动：其中法定代表人直接参加的，须出具法人身份证，并与营业执照上信息一致；授权代表参加的，须出具法定代表人授权书及被授权人身份证，供应商需在本项目电子化交易系统中按要求上传相关证明文件并签章；</w:t>
      </w:r>
    </w:p>
    <w:p>
      <w:pPr>
        <w:pStyle w:val="null3"/>
      </w:pPr>
      <w:r>
        <w:rPr>
          <w:rFonts w:ascii="仿宋_GB2312" w:hAnsi="仿宋_GB2312" w:cs="仿宋_GB2312" w:eastAsia="仿宋_GB2312"/>
        </w:rPr>
        <w:t>4、本项目不接受联合体磋商，单位负责人为同一人或者存在控股、管理关系的不同单位不得同时参与本项目磋商响应【注：提供“供应商非联合体”声明函】：本项目不接受联合体磋商，单位负责人为同一人或者存在控股、管理关系的不同单位不得同时参与本项目磋商响应；</w:t>
      </w:r>
    </w:p>
    <w:p>
      <w:pPr>
        <w:pStyle w:val="null3"/>
      </w:pPr>
      <w:r>
        <w:rPr>
          <w:rFonts w:ascii="仿宋_GB2312" w:hAnsi="仿宋_GB2312" w:cs="仿宋_GB2312" w:eastAsia="仿宋_GB2312"/>
        </w:rPr>
        <w:t>5、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注：按照汉中市财政局《关于全面推行政府采购投标人基本资格条件承诺制的通知》（汉财办采管〔2024〕20号）文件要求，提供满足相应条件的资格承诺函（格式详见附件）】：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w:t>
      </w:r>
    </w:p>
    <w:p>
      <w:pPr>
        <w:pStyle w:val="null3"/>
      </w:pPr>
      <w:r>
        <w:rPr>
          <w:rFonts w:ascii="仿宋_GB2312" w:hAnsi="仿宋_GB2312" w:cs="仿宋_GB2312" w:eastAsia="仿宋_GB2312"/>
        </w:rPr>
        <w:t>6、供应商按规定缴纳了磋商保证金或提供磋商担保函【注：提供加盖公章的复印件。供应商需在本项目电子化交易系统中按要求上传相关证明文件并电子签章】：按规定缴纳了磋商保证金或提供磋商担保函看，供应商需在本项目电子化交易系统中按要求上传相关证明文件并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汉中市生态环境局宁强分局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汉中市宁强县汉源街道羌州北路中断</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俞先生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0916-4222881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陕西中久福项目咨询管理有限公司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陕西省西安市新城区陕西省西安市新城区金花北路299号恒基碧翠锦华31号楼2单元2204室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18091963969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采购包1：331,000.00元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开户名称：陕西中久福项目咨询管理有限公司</w:t>
            </w:r>
          </w:p>
          <w:p>
            <w:pPr>
              <w:pStyle w:val="null3"/>
            </w:pPr>
            <w:r>
              <w:rPr>
                <w:rFonts w:ascii="仿宋_GB2312" w:hAnsi="仿宋_GB2312" w:cs="仿宋_GB2312" w:eastAsia="仿宋_GB2312"/>
              </w:rPr>
              <w:t>开户银行：中国建设银行股份有限公司西安三桥二十四城支行</w:t>
            </w:r>
          </w:p>
          <w:p>
            <w:pPr>
              <w:pStyle w:val="null3"/>
            </w:pPr>
            <w:r>
              <w:rPr>
                <w:rFonts w:ascii="仿宋_GB2312" w:hAnsi="仿宋_GB2312" w:cs="仿宋_GB2312" w:eastAsia="仿宋_GB2312"/>
              </w:rPr>
              <w:t>银行账号：61050110571500000697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按照国家计委颁发的《采购代理服务收费管理暂行办法》（计价格[2002]1980号）、国家发改委办公厅颁发的《关于采购代理服务收费有关问题的通知》（发改办价格[2003] 857号）、《国家发改委关于降低部分建设项目收费标准规范收费行为等有关问题的通知》（发改价格[2011]534号）的有关规定执行或双方合同约定。</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汉中市生态环境局宁强分局</w:t>
      </w:r>
      <w:r>
        <w:rPr>
          <w:rFonts w:ascii="仿宋_GB2312" w:hAnsi="仿宋_GB2312" w:cs="仿宋_GB2312" w:eastAsia="仿宋_GB2312"/>
        </w:rPr>
        <w:t>和</w:t>
      </w:r>
      <w:r>
        <w:rPr>
          <w:rFonts w:ascii="仿宋_GB2312" w:hAnsi="仿宋_GB2312" w:cs="仿宋_GB2312" w:eastAsia="仿宋_GB2312"/>
        </w:rPr>
        <w:t>陕西中久福项目咨询管理有限公司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汉中市生态环境局宁强分局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陕西中久福项目咨询管理有限公司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汉中市生态环境局宁强分局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陕西中久福项目咨询管理有限公司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采购包1：分包比例5%，分包履行的内容：甲乙双方合同内约定，中标供应商就采购项目和分包项目向采购人负责，分包供应商就分包项目承担责任。；资质要求详见第4章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符合国家相关要求，验收达到合格标准。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陕西中久福项目咨询管理有限公司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陕西中久福项目咨询管理有限公司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陕西中久福项目咨询管理有限公司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联系人：吕先生</w:t>
      </w:r>
    </w:p>
    <w:p>
      <w:pPr>
        <w:pStyle w:val="null3"/>
      </w:pPr>
      <w:r>
        <w:rPr>
          <w:rFonts w:ascii="仿宋_GB2312" w:hAnsi="仿宋_GB2312" w:cs="仿宋_GB2312" w:eastAsia="仿宋_GB2312"/>
        </w:rPr>
        <w:t>联系电话：18091963969</w:t>
      </w:r>
    </w:p>
    <w:p>
      <w:pPr>
        <w:pStyle w:val="null3"/>
      </w:pPr>
      <w:r>
        <w:rPr>
          <w:rFonts w:ascii="仿宋_GB2312" w:hAnsi="仿宋_GB2312" w:cs="仿宋_GB2312" w:eastAsia="仿宋_GB2312"/>
        </w:rPr>
        <w:t>地址：陕西省西安市新城区陕西省西安市新城区金花北路299号恒基碧翠锦华31号楼2单元2204室</w:t>
      </w:r>
    </w:p>
    <w:p>
      <w:pPr>
        <w:pStyle w:val="null3"/>
      </w:pPr>
      <w:r>
        <w:rPr>
          <w:rFonts w:ascii="仿宋_GB2312" w:hAnsi="仿宋_GB2312" w:cs="仿宋_GB2312" w:eastAsia="仿宋_GB2312"/>
        </w:rPr>
        <w:t>邮编：710004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按照《2026年宁强县生态环境监测方案》要求，按时限完成地表水、饮用水源地等监测任务。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331,000.00</w:t>
      </w:r>
    </w:p>
    <w:p>
      <w:pPr>
        <w:pStyle w:val="null3"/>
      </w:pPr>
      <w:r>
        <w:rPr>
          <w:rFonts w:ascii="仿宋_GB2312" w:hAnsi="仿宋_GB2312" w:cs="仿宋_GB2312" w:eastAsia="仿宋_GB2312"/>
        </w:rPr>
        <w:t>采购包最高限价（元）: 331,000.00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2026年宁强县域生态环境质量监测技术服务采购项目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331,000.00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标的名称：2026年宁强县域生态环境质量监测技术服务采购项目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29"/>
              <w:gridCol w:w="276"/>
              <w:gridCol w:w="359"/>
              <w:gridCol w:w="571"/>
              <w:gridCol w:w="949"/>
              <w:gridCol w:w="497"/>
              <w:gridCol w:w="396"/>
            </w:tblGrid>
            <w:tr>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序号</w:t>
                  </w:r>
                </w:p>
              </w:tc>
              <w:tc>
                <w:tcPr>
                  <w:tcW w:type="dxa" w:w="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类型</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类别</w:t>
                  </w:r>
                </w:p>
              </w:tc>
              <w:tc>
                <w:tcPr>
                  <w:tcW w:type="dxa" w:w="5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断面名称</w:t>
                  </w:r>
                </w:p>
              </w:tc>
              <w:tc>
                <w:tcPr>
                  <w:tcW w:type="dxa" w:w="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项目</w:t>
                  </w:r>
                </w:p>
              </w:tc>
              <w:tc>
                <w:tcPr>
                  <w:tcW w:type="dxa" w:w="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频次</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采样方式</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6"/>
                      <w:color w:val="000000"/>
                    </w:rPr>
                    <w:t>1</w:t>
                  </w:r>
                </w:p>
              </w:tc>
              <w:tc>
                <w:tcPr>
                  <w:tcW w:type="dxa" w:w="2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地表水</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国控</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烈金坝</w:t>
                  </w:r>
                </w:p>
              </w:tc>
              <w:tc>
                <w:tcPr>
                  <w:tcW w:type="dxa" w:w="9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1.现场监测项目5项:水温、pH值、溶解氧、浊度、电导率。2.实验室分析项目21项。</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每月</w:t>
                  </w:r>
                  <w:r>
                    <w:rPr>
                      <w:rFonts w:ascii="仿宋_GB2312" w:hAnsi="仿宋_GB2312" w:cs="仿宋_GB2312" w:eastAsia="仿宋_GB2312"/>
                      <w:sz w:val="16"/>
                      <w:color w:val="000000"/>
                    </w:rPr>
                    <w:t>1次，全年共12次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6"/>
                      <w:color w:val="000000"/>
                    </w:rPr>
                    <w:t>2</w:t>
                  </w:r>
                </w:p>
              </w:tc>
              <w:tc>
                <w:tcPr>
                  <w:tcW w:type="dxa" w:w="276"/>
                  <w:vMerge/>
                  <w:tcBorders>
                    <w:top w:val="none" w:color="000000" w:sz="4"/>
                    <w:left w:val="none" w:color="000000" w:sz="4"/>
                    <w:bottom w:val="single" w:color="000000" w:sz="4"/>
                    <w:right w:val="single" w:color="000000" w:sz="4"/>
                  </w:tcBorders>
                </w:tc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国控</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盐井河陕西出境</w:t>
                  </w:r>
                </w:p>
              </w:tc>
              <w:tc>
                <w:tcPr>
                  <w:tcW w:type="dxa" w:w="949"/>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每月</w:t>
                  </w:r>
                  <w:r>
                    <w:rPr>
                      <w:rFonts w:ascii="仿宋_GB2312" w:hAnsi="仿宋_GB2312" w:cs="仿宋_GB2312" w:eastAsia="仿宋_GB2312"/>
                      <w:sz w:val="16"/>
                      <w:color w:val="000000"/>
                    </w:rPr>
                    <w:t>1次，全年共12次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6"/>
                      <w:color w:val="000000"/>
                    </w:rPr>
                    <w:t>3</w:t>
                  </w:r>
                </w:p>
              </w:tc>
              <w:tc>
                <w:tcPr>
                  <w:tcW w:type="dxa" w:w="276"/>
                  <w:vMerge/>
                  <w:tcBorders>
                    <w:top w:val="none" w:color="000000" w:sz="4"/>
                    <w:left w:val="none" w:color="000000" w:sz="4"/>
                    <w:bottom w:val="single" w:color="000000" w:sz="4"/>
                    <w:right w:val="single" w:color="000000" w:sz="4"/>
                  </w:tcBorders>
                </w:tc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国控</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八庙沟</w:t>
                  </w:r>
                </w:p>
              </w:tc>
              <w:tc>
                <w:tcPr>
                  <w:tcW w:type="dxa" w:w="949"/>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每月</w:t>
                  </w:r>
                  <w:r>
                    <w:rPr>
                      <w:rFonts w:ascii="仿宋_GB2312" w:hAnsi="仿宋_GB2312" w:cs="仿宋_GB2312" w:eastAsia="仿宋_GB2312"/>
                      <w:sz w:val="16"/>
                      <w:color w:val="000000"/>
                    </w:rPr>
                    <w:t>1次，全年共12次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6"/>
                      <w:color w:val="000000"/>
                    </w:rPr>
                    <w:t>4</w:t>
                  </w:r>
                </w:p>
              </w:tc>
              <w:tc>
                <w:tcPr>
                  <w:tcW w:type="dxa" w:w="276"/>
                  <w:vMerge/>
                  <w:tcBorders>
                    <w:top w:val="none" w:color="000000" w:sz="4"/>
                    <w:left w:val="none" w:color="000000" w:sz="4"/>
                    <w:bottom w:val="single" w:color="000000" w:sz="4"/>
                    <w:right w:val="single" w:color="000000" w:sz="4"/>
                  </w:tcBorders>
                </w:tc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市控</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黑水河</w:t>
                  </w:r>
                </w:p>
              </w:tc>
              <w:tc>
                <w:tcPr>
                  <w:tcW w:type="dxa" w:w="949"/>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每月</w:t>
                  </w:r>
                  <w:r>
                    <w:rPr>
                      <w:rFonts w:ascii="仿宋_GB2312" w:hAnsi="仿宋_GB2312" w:cs="仿宋_GB2312" w:eastAsia="仿宋_GB2312"/>
                      <w:sz w:val="16"/>
                      <w:color w:val="000000"/>
                    </w:rPr>
                    <w:t>1次，全年共12次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6"/>
                      <w:color w:val="000000"/>
                    </w:rPr>
                    <w:t>5</w:t>
                  </w:r>
                </w:p>
              </w:tc>
              <w:tc>
                <w:tcPr>
                  <w:tcW w:type="dxa" w:w="276"/>
                  <w:vMerge/>
                  <w:tcBorders>
                    <w:top w:val="none" w:color="000000" w:sz="4"/>
                    <w:left w:val="none" w:color="000000" w:sz="4"/>
                    <w:bottom w:val="single" w:color="000000" w:sz="4"/>
                    <w:right w:val="single" w:color="000000" w:sz="4"/>
                  </w:tcBorders>
                </w:tc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市控</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玉带河</w:t>
                  </w:r>
                </w:p>
              </w:tc>
              <w:tc>
                <w:tcPr>
                  <w:tcW w:type="dxa" w:w="949"/>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每月</w:t>
                  </w:r>
                  <w:r>
                    <w:rPr>
                      <w:rFonts w:ascii="仿宋_GB2312" w:hAnsi="仿宋_GB2312" w:cs="仿宋_GB2312" w:eastAsia="仿宋_GB2312"/>
                      <w:sz w:val="16"/>
                      <w:color w:val="000000"/>
                    </w:rPr>
                    <w:t>1次，全年共12次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6"/>
                      <w:color w:val="000000"/>
                    </w:rPr>
                    <w:t>6</w:t>
                  </w:r>
                </w:p>
              </w:tc>
              <w:tc>
                <w:tcPr>
                  <w:tcW w:type="dxa" w:w="276"/>
                  <w:vMerge/>
                  <w:tcBorders>
                    <w:top w:val="none" w:color="000000" w:sz="4"/>
                    <w:left w:val="none" w:color="000000" w:sz="4"/>
                    <w:bottom w:val="single" w:color="000000" w:sz="4"/>
                    <w:right w:val="single" w:color="000000" w:sz="4"/>
                  </w:tcBorders>
                </w:tc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县交界（农业面源污染）</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巨亭镇</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1.现场监测项目4项:水温、pH值、溶解氧、电导率。2.实验室分析项目21项。3.每季度第一个月增加硝酸盐（以N计）、流量。</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每月</w:t>
                  </w:r>
                  <w:r>
                    <w:rPr>
                      <w:rFonts w:ascii="仿宋_GB2312" w:hAnsi="仿宋_GB2312" w:cs="仿宋_GB2312" w:eastAsia="仿宋_GB2312"/>
                      <w:sz w:val="16"/>
                      <w:color w:val="000000"/>
                    </w:rPr>
                    <w:t>1次，全年共12次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276"/>
                  <w:vMerge/>
                  <w:tcBorders>
                    <w:top w:val="none" w:color="000000" w:sz="4"/>
                    <w:left w:val="none" w:color="000000" w:sz="4"/>
                    <w:bottom w:val="single" w:color="000000" w:sz="4"/>
                    <w:right w:val="single" w:color="000000" w:sz="4"/>
                  </w:tcBorders>
                </w:tc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农业面源污染</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燕子砭</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流量、高锰酸盐指数、化学需氧量、总氮、总磷、氨氮、硝酸盐（以</w:t>
                  </w:r>
                  <w:r>
                    <w:rPr>
                      <w:rFonts w:ascii="仿宋_GB2312" w:hAnsi="仿宋_GB2312" w:cs="仿宋_GB2312" w:eastAsia="仿宋_GB2312"/>
                      <w:sz w:val="16"/>
                      <w:color w:val="000000"/>
                    </w:rPr>
                    <w:t>N计），共7项指标</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每季度</w:t>
                  </w:r>
                  <w:r>
                    <w:rPr>
                      <w:rFonts w:ascii="仿宋_GB2312" w:hAnsi="仿宋_GB2312" w:cs="仿宋_GB2312" w:eastAsia="仿宋_GB2312"/>
                      <w:sz w:val="16"/>
                      <w:color w:val="000000"/>
                    </w:rPr>
                    <w:t>1次，全年共4次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2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县城水源地</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地表水型</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县城二郎坝集中式饮用水水源地保护区监测</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在取水口上游一级保护区、二级保护区水域边界至少各设置</w:t>
                  </w:r>
                  <w:r>
                    <w:rPr>
                      <w:rFonts w:ascii="仿宋_GB2312" w:hAnsi="仿宋_GB2312" w:cs="仿宋_GB2312" w:eastAsia="仿宋_GB2312"/>
                      <w:sz w:val="16"/>
                      <w:color w:val="000000"/>
                    </w:rPr>
                    <w:t>1个监测断面。《地表水环境质量标准》（GB3838-2002）表1的基本项目（24项）、表2的补充项目（5项），表3的优选特定项目33项，共62项。</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每季度</w:t>
                  </w:r>
                  <w:r>
                    <w:rPr>
                      <w:rFonts w:ascii="仿宋_GB2312" w:hAnsi="仿宋_GB2312" w:cs="仿宋_GB2312" w:eastAsia="仿宋_GB2312"/>
                      <w:sz w:val="16"/>
                      <w:color w:val="000000"/>
                    </w:rPr>
                    <w:t>1次，全年共4次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9"/>
                  <w:vMerge/>
                  <w:tcBorders>
                    <w:top w:val="none" w:color="000000" w:sz="4"/>
                    <w:left w:val="single" w:color="000000" w:sz="4"/>
                    <w:bottom w:val="single" w:color="000000" w:sz="4"/>
                    <w:right w:val="single" w:color="000000" w:sz="4"/>
                  </w:tcBorders>
                </w:tcPr>
                <w:p/>
              </w:tc>
              <w:tc>
                <w:tcPr>
                  <w:tcW w:type="dxa" w:w="276"/>
                  <w:vMerge/>
                  <w:tcBorders>
                    <w:top w:val="none" w:color="000000" w:sz="4"/>
                    <w:left w:val="none" w:color="000000" w:sz="4"/>
                    <w:bottom w:val="single" w:color="000000" w:sz="4"/>
                    <w:right w:val="single" w:color="000000" w:sz="4"/>
                  </w:tcBorders>
                </w:tc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地表水型</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县城东方红饮用水水源地保护区监测</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在取水口上游一级保护区、二级保护区水域边界至少各设置</w:t>
                  </w:r>
                  <w:r>
                    <w:rPr>
                      <w:rFonts w:ascii="仿宋_GB2312" w:hAnsi="仿宋_GB2312" w:cs="仿宋_GB2312" w:eastAsia="仿宋_GB2312"/>
                      <w:sz w:val="16"/>
                      <w:color w:val="000000"/>
                    </w:rPr>
                    <w:t>1个监测断面。《地表水环境质量标准》（GB3838-2002）表1的基本项目（24项）、表2的补充项目（5项），表3的优选特定项目33项，共62项。</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每季度</w:t>
                  </w:r>
                  <w:r>
                    <w:rPr>
                      <w:rFonts w:ascii="仿宋_GB2312" w:hAnsi="仿宋_GB2312" w:cs="仿宋_GB2312" w:eastAsia="仿宋_GB2312"/>
                      <w:sz w:val="16"/>
                      <w:color w:val="000000"/>
                    </w:rPr>
                    <w:t>1次，全年共4次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27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千吨万人水源地</w:t>
                  </w:r>
                </w:p>
              </w:tc>
              <w:tc>
                <w:tcPr>
                  <w:tcW w:type="dxa" w:w="3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地表水型</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后河饮用水源地</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《地表水环境质量标准》（</w:t>
                  </w:r>
                  <w:r>
                    <w:rPr>
                      <w:rFonts w:ascii="仿宋_GB2312" w:hAnsi="仿宋_GB2312" w:cs="仿宋_GB2312" w:eastAsia="仿宋_GB2312"/>
                      <w:sz w:val="16"/>
                      <w:color w:val="000000"/>
                    </w:rPr>
                    <w:t>GB3838-2002）表1的基本项目（23项，化学需氧量除外）、表2的补充项目（5项），共28项</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每季度</w:t>
                  </w:r>
                  <w:r>
                    <w:rPr>
                      <w:rFonts w:ascii="仿宋_GB2312" w:hAnsi="仿宋_GB2312" w:cs="仿宋_GB2312" w:eastAsia="仿宋_GB2312"/>
                      <w:sz w:val="16"/>
                      <w:color w:val="000000"/>
                    </w:rPr>
                    <w:t>1次，全年共4次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9"/>
                  <w:vMerge/>
                  <w:tcBorders>
                    <w:top w:val="none" w:color="000000" w:sz="4"/>
                    <w:left w:val="single" w:color="000000" w:sz="4"/>
                    <w:bottom w:val="none" w:color="000000" w:sz="4"/>
                    <w:right w:val="single" w:color="000000" w:sz="4"/>
                  </w:tcBorders>
                </w:tcPr>
                <w:p/>
              </w:tc>
              <w:tc>
                <w:tcPr>
                  <w:tcW w:type="dxa" w:w="276"/>
                  <w:vMerge/>
                  <w:tcBorders>
                    <w:top w:val="none" w:color="000000" w:sz="4"/>
                    <w:left w:val="none" w:color="000000" w:sz="4"/>
                    <w:bottom w:val="none" w:color="000000" w:sz="4"/>
                    <w:right w:val="single" w:color="000000" w:sz="4"/>
                  </w:tcBorders>
                </w:tcPr>
                <w:p/>
              </w:tc>
              <w:tc>
                <w:tcPr>
                  <w:tcW w:type="dxa" w:w="359"/>
                  <w:vMerge/>
                  <w:tcBorders>
                    <w:top w:val="none" w:color="000000" w:sz="4"/>
                    <w:left w:val="none" w:color="000000" w:sz="4"/>
                    <w:bottom w:val="single" w:color="000000" w:sz="4"/>
                    <w:right w:val="single" w:color="000000" w:sz="4"/>
                  </w:tcBorders>
                </w:tcPr>
                <w:p/>
              </w:tc>
              <w:tc>
                <w:tcPr>
                  <w:tcW w:type="dxa" w:w="5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韩家河饮用水源地</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1.地表水环境质量标准》（GB3838-2002）表1的基本项目（23项，化学需氧量除外）、表2的补充项目（5项），共28项。</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每季度</w:t>
                  </w:r>
                  <w:r>
                    <w:rPr>
                      <w:rFonts w:ascii="仿宋_GB2312" w:hAnsi="仿宋_GB2312" w:cs="仿宋_GB2312" w:eastAsia="仿宋_GB2312"/>
                      <w:sz w:val="16"/>
                      <w:color w:val="000000"/>
                    </w:rPr>
                    <w:t>1次，全年共4次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9"/>
                  <w:vMerge/>
                  <w:tcBorders>
                    <w:top w:val="none" w:color="000000" w:sz="4"/>
                    <w:left w:val="single" w:color="000000" w:sz="4"/>
                    <w:bottom w:val="none" w:color="000000" w:sz="4"/>
                    <w:right w:val="single" w:color="000000" w:sz="4"/>
                  </w:tcBorders>
                </w:tcPr>
                <w:p/>
              </w:tc>
              <w:tc>
                <w:tcPr>
                  <w:tcW w:type="dxa" w:w="276"/>
                  <w:vMerge/>
                  <w:tcBorders>
                    <w:top w:val="none" w:color="000000" w:sz="4"/>
                    <w:left w:val="none" w:color="000000" w:sz="4"/>
                    <w:bottom w:val="none" w:color="000000" w:sz="4"/>
                    <w:right w:val="single" w:color="000000" w:sz="4"/>
                  </w:tcBorders>
                </w:tcPr>
                <w:p/>
              </w:tc>
              <w:tc>
                <w:tcPr>
                  <w:tcW w:type="dxa" w:w="359"/>
                  <w:vMerge/>
                  <w:tcBorders>
                    <w:top w:val="none" w:color="000000" w:sz="4"/>
                    <w:left w:val="non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2.第三季度开展一次全分析109项</w:t>
                  </w:r>
                </w:p>
              </w:tc>
              <w:tc>
                <w:tcPr>
                  <w:tcW w:type="dxa" w:w="497"/>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2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镇级水源地</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地表水型</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《地表水环境质量标准》（</w:t>
                  </w:r>
                  <w:r>
                    <w:rPr>
                      <w:rFonts w:ascii="仿宋_GB2312" w:hAnsi="仿宋_GB2312" w:cs="仿宋_GB2312" w:eastAsia="仿宋_GB2312"/>
                      <w:sz w:val="16"/>
                      <w:color w:val="000000"/>
                    </w:rPr>
                    <w:t>GB3838-2002）表1的基本项目（23项，化学需氧量除外）、表2的补充项目（5项），共28项。</w:t>
                  </w:r>
                  <w:r>
                    <w:rPr>
                      <w:rFonts w:ascii="仿宋_GB2312" w:hAnsi="仿宋_GB2312" w:cs="仿宋_GB2312" w:eastAsia="仿宋_GB2312"/>
                      <w:sz w:val="16"/>
                      <w:b/>
                      <w:color w:val="000000"/>
                    </w:rPr>
                    <w:t>(除去PH、水温、溶解氧、氨氮、高锰酸盐指数、总氮、总磷、石油类、六价铬、铜铅锌镉汞砷硒铁锰，共18项）</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每半年</w:t>
                  </w:r>
                  <w:r>
                    <w:rPr>
                      <w:rFonts w:ascii="仿宋_GB2312" w:hAnsi="仿宋_GB2312" w:cs="仿宋_GB2312" w:eastAsia="仿宋_GB2312"/>
                      <w:sz w:val="16"/>
                      <w:color w:val="000000"/>
                    </w:rPr>
                    <w:t>1次，全年共2次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送样</w:t>
                  </w:r>
                </w:p>
              </w:tc>
            </w:tr>
            <w:tr>
              <w:tc>
                <w:tcPr>
                  <w:tcW w:type="dxa" w:w="129"/>
                  <w:vMerge/>
                  <w:tcBorders>
                    <w:top w:val="single" w:color="000000" w:sz="4"/>
                    <w:left w:val="single" w:color="000000" w:sz="4"/>
                    <w:bottom w:val="single" w:color="000000" w:sz="4"/>
                    <w:right w:val="single" w:color="000000" w:sz="4"/>
                  </w:tcBorders>
                </w:tcPr>
                <w:p/>
              </w:tc>
              <w:tc>
                <w:tcPr>
                  <w:tcW w:type="dxa" w:w="276"/>
                  <w:vMerge/>
                  <w:tcBorders>
                    <w:top w:val="single" w:color="000000" w:sz="4"/>
                    <w:left w:val="none" w:color="000000" w:sz="4"/>
                    <w:bottom w:val="single" w:color="000000" w:sz="4"/>
                    <w:right w:val="single" w:color="000000" w:sz="4"/>
                  </w:tcBorders>
                </w:tc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地下水型</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《地下水质量标准》（</w:t>
                  </w:r>
                  <w:r>
                    <w:rPr>
                      <w:rFonts w:ascii="仿宋_GB2312" w:hAnsi="仿宋_GB2312" w:cs="仿宋_GB2312" w:eastAsia="仿宋_GB2312"/>
                      <w:sz w:val="16"/>
                      <w:color w:val="000000"/>
                    </w:rPr>
                    <w:t>GB/T 14848-2017）表1中39项指标：色（铂钴色度单位）、嗅和味、肉眼可见物、总硬度（以 CaCO₃计）、溶解性总固体、硫酸盐、氯化物、挥发性酚类（以苯酚计）、阴离子表面活性剂、硫化物、钠、总大肠菌群、菌落总数、亚硝酸盐、硝酸盐、氰化物、氟化物、碘化物</w:t>
                  </w:r>
                  <w:r>
                    <w:rPr>
                      <w:rFonts w:ascii="仿宋_GB2312" w:hAnsi="仿宋_GB2312" w:cs="仿宋_GB2312" w:eastAsia="仿宋_GB2312"/>
                      <w:sz w:val="16"/>
                      <w:b/>
                      <w:color w:val="000000"/>
                    </w:rPr>
                    <w:t>（</w:t>
                  </w:r>
                  <w:r>
                    <w:rPr>
                      <w:rFonts w:ascii="仿宋_GB2312" w:hAnsi="仿宋_GB2312" w:cs="仿宋_GB2312" w:eastAsia="仿宋_GB2312"/>
                      <w:sz w:val="16"/>
                      <w:b/>
                      <w:color w:val="000000"/>
                    </w:rPr>
                    <w:t>除去</w:t>
                  </w:r>
                  <w:r>
                    <w:rPr>
                      <w:rFonts w:ascii="仿宋_GB2312" w:hAnsi="仿宋_GB2312" w:cs="仿宋_GB2312" w:eastAsia="仿宋_GB2312"/>
                      <w:sz w:val="16"/>
                      <w:b/>
                      <w:color w:val="000000"/>
                    </w:rPr>
                    <w:t>pH、浑浊度、氨氮、高锰酸盐指数、六价铬、铜铅锌镉铁锰、汞、砷、硒锑钡镍钴铍铝钼，共21项）</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每半年</w:t>
                  </w:r>
                  <w:r>
                    <w:rPr>
                      <w:rFonts w:ascii="仿宋_GB2312" w:hAnsi="仿宋_GB2312" w:cs="仿宋_GB2312" w:eastAsia="仿宋_GB2312"/>
                      <w:sz w:val="16"/>
                      <w:color w:val="000000"/>
                    </w:rPr>
                    <w:t>1次，全年共2次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送样</w:t>
                  </w:r>
                </w:p>
              </w:tc>
            </w:tr>
            <w:tr>
              <w:tc>
                <w:tcPr>
                  <w:tcW w:type="dxa" w:w="1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c>
                <w:tcPr>
                  <w:tcW w:type="dxa" w:w="2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监督性监测</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污染源</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县城污水处理厂</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出水水质指标</w:t>
                  </w:r>
                  <w:r>
                    <w:rPr>
                      <w:rFonts w:ascii="仿宋_GB2312" w:hAnsi="仿宋_GB2312" w:cs="仿宋_GB2312" w:eastAsia="仿宋_GB2312"/>
                      <w:sz w:val="16"/>
                      <w:color w:val="000000"/>
                    </w:rPr>
                    <w:t>19项。《城镇污水处理厂污染物排放标准》表1中12项，表2中7项。</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每季度</w:t>
                  </w:r>
                  <w:r>
                    <w:rPr>
                      <w:rFonts w:ascii="仿宋_GB2312" w:hAnsi="仿宋_GB2312" w:cs="仿宋_GB2312" w:eastAsia="仿宋_GB2312"/>
                      <w:sz w:val="16"/>
                      <w:color w:val="000000"/>
                    </w:rPr>
                    <w:t>1次，全年共4次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9"/>
                  <w:vMerge/>
                  <w:tcBorders>
                    <w:top w:val="none" w:color="000000" w:sz="4"/>
                    <w:left w:val="single" w:color="000000" w:sz="4"/>
                    <w:bottom w:val="single" w:color="000000" w:sz="4"/>
                    <w:right w:val="single" w:color="000000" w:sz="4"/>
                  </w:tcBorders>
                </w:tcPr>
                <w:p/>
              </w:tc>
              <w:tc>
                <w:tcPr>
                  <w:tcW w:type="dxa" w:w="276"/>
                  <w:vMerge/>
                  <w:tcBorders>
                    <w:top w:val="none" w:color="000000" w:sz="4"/>
                    <w:left w:val="none" w:color="000000" w:sz="4"/>
                    <w:bottom w:val="single" w:color="000000" w:sz="4"/>
                    <w:right w:val="single" w:color="000000" w:sz="4"/>
                  </w:tcBorders>
                </w:tc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污染源</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7家砖瓦厂废气监测</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脱硫塔废气排放口：二氧化硫、氮氧化物、颗粒物</w:t>
                  </w:r>
                  <w:r>
                    <w:rPr>
                      <w:rFonts w:ascii="仿宋_GB2312" w:hAnsi="仿宋_GB2312" w:cs="仿宋_GB2312" w:eastAsia="仿宋_GB2312"/>
                      <w:sz w:val="16"/>
                      <w:color w:val="000000"/>
                    </w:rPr>
                    <w:t>氟化物</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全年共</w:t>
                  </w:r>
                  <w:r>
                    <w:rPr>
                      <w:rFonts w:ascii="仿宋_GB2312" w:hAnsi="仿宋_GB2312" w:cs="仿宋_GB2312" w:eastAsia="仿宋_GB2312"/>
                      <w:sz w:val="16"/>
                      <w:color w:val="000000"/>
                    </w:rPr>
                    <w:t>1次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2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调查监测</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涉金属矿产开发生态环境综合整治规划水质监测</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4个断面</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项目：</w:t>
                  </w:r>
                  <w:r>
                    <w:rPr>
                      <w:rFonts w:ascii="仿宋_GB2312" w:hAnsi="仿宋_GB2312" w:cs="仿宋_GB2312" w:eastAsia="仿宋_GB2312"/>
                      <w:sz w:val="16"/>
                      <w:color w:val="000000"/>
                    </w:rPr>
                    <w:t>PH、铜、砷、汞、铅、锌、铬、镍、铁、锰、铝、钒、钛、铊、硫酸盐，共15项。</w:t>
                  </w:r>
                  <w:r>
                    <w:rPr>
                      <w:rFonts w:ascii="仿宋_GB2312" w:hAnsi="仿宋_GB2312" w:cs="仿宋_GB2312" w:eastAsia="仿宋_GB2312"/>
                      <w:sz w:val="16"/>
                      <w:b/>
                      <w:color w:val="000000"/>
                    </w:rPr>
                    <w:t>（除去</w:t>
                  </w:r>
                  <w:r>
                    <w:rPr>
                      <w:rFonts w:ascii="仿宋_GB2312" w:hAnsi="仿宋_GB2312" w:cs="仿宋_GB2312" w:eastAsia="仿宋_GB2312"/>
                      <w:sz w:val="16"/>
                      <w:b/>
                      <w:color w:val="000000"/>
                    </w:rPr>
                    <w:t>PH、铜、铅、锌、镍、铁、锰、铝、钒、钛、铊，共11项）</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每月一次，全年</w:t>
                  </w:r>
                  <w:r>
                    <w:rPr>
                      <w:rFonts w:ascii="仿宋_GB2312" w:hAnsi="仿宋_GB2312" w:cs="仿宋_GB2312" w:eastAsia="仿宋_GB2312"/>
                      <w:sz w:val="16"/>
                      <w:color w:val="000000"/>
                    </w:rPr>
                    <w:t>12次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送样</w:t>
                  </w:r>
                </w:p>
              </w:tc>
            </w:tr>
            <w:tr>
              <w:tc>
                <w:tcPr>
                  <w:tcW w:type="dxa" w:w="129"/>
                  <w:vMerge/>
                  <w:tcBorders>
                    <w:top w:val="none" w:color="000000" w:sz="4"/>
                    <w:left w:val="single" w:color="000000" w:sz="4"/>
                    <w:bottom w:val="single" w:color="000000" w:sz="4"/>
                    <w:right w:val="single" w:color="000000" w:sz="4"/>
                  </w:tcBorders>
                </w:tcPr>
                <w:p/>
              </w:tc>
              <w:tc>
                <w:tcPr>
                  <w:tcW w:type="dxa" w:w="276"/>
                  <w:vMerge/>
                  <w:tcBorders>
                    <w:top w:val="none" w:color="000000" w:sz="4"/>
                    <w:left w:val="none" w:color="000000" w:sz="4"/>
                    <w:bottom w:val="single" w:color="000000" w:sz="4"/>
                    <w:right w:val="single" w:color="000000" w:sz="4"/>
                  </w:tcBorders>
                </w:tcPr>
                <w:p/>
              </w:tc>
              <w:tc>
                <w:tcPr>
                  <w:tcW w:type="dxa" w:w="3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稻渔种养</w:t>
                  </w:r>
                </w:p>
              </w:tc>
              <w:tc>
                <w:tcPr>
                  <w:tcW w:type="dxa" w:w="5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r>
                    <w:rPr>
                      <w:rFonts w:ascii="仿宋_GB2312" w:hAnsi="仿宋_GB2312" w:cs="仿宋_GB2312" w:eastAsia="仿宋_GB2312"/>
                      <w:sz w:val="16"/>
                      <w:color w:val="000000"/>
                    </w:rPr>
                    <w:t>个企业</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进水：《渔业水质标准》（</w:t>
                  </w:r>
                  <w:r>
                    <w:rPr>
                      <w:rFonts w:ascii="仿宋_GB2312" w:hAnsi="仿宋_GB2312" w:cs="仿宋_GB2312" w:eastAsia="仿宋_GB2312"/>
                      <w:sz w:val="16"/>
                      <w:color w:val="000000"/>
                    </w:rPr>
                    <w:t>GB11607</w:t>
                  </w:r>
                  <w:r>
                    <w:rPr>
                      <w:rFonts w:ascii="仿宋_GB2312" w:hAnsi="仿宋_GB2312" w:cs="仿宋_GB2312" w:eastAsia="仿宋_GB2312"/>
                      <w:sz w:val="16"/>
                      <w:color w:val="000000"/>
                    </w:rPr>
                    <w:t>—</w:t>
                  </w:r>
                  <w:r>
                    <w:rPr>
                      <w:rFonts w:ascii="仿宋_GB2312" w:hAnsi="仿宋_GB2312" w:cs="仿宋_GB2312" w:eastAsia="仿宋_GB2312"/>
                      <w:sz w:val="16"/>
                      <w:color w:val="000000"/>
                    </w:rPr>
                    <w:t>89</w:t>
                  </w:r>
                  <w:r>
                    <w:rPr>
                      <w:rFonts w:ascii="仿宋_GB2312" w:hAnsi="仿宋_GB2312" w:cs="仿宋_GB2312" w:eastAsia="仿宋_GB2312"/>
                      <w:sz w:val="16"/>
                      <w:color w:val="000000"/>
                    </w:rPr>
                    <w:t>）表</w:t>
                  </w:r>
                  <w:r>
                    <w:rPr>
                      <w:rFonts w:ascii="仿宋_GB2312" w:hAnsi="仿宋_GB2312" w:cs="仿宋_GB2312" w:eastAsia="仿宋_GB2312"/>
                      <w:sz w:val="16"/>
                      <w:color w:val="000000"/>
                    </w:rPr>
                    <w:t>1</w:t>
                  </w:r>
                  <w:r>
                    <w:rPr>
                      <w:rFonts w:ascii="仿宋_GB2312" w:hAnsi="仿宋_GB2312" w:cs="仿宋_GB2312" w:eastAsia="仿宋_GB2312"/>
                      <w:sz w:val="16"/>
                      <w:color w:val="000000"/>
                    </w:rPr>
                    <w:t>中</w:t>
                  </w:r>
                  <w:r>
                    <w:rPr>
                      <w:rFonts w:ascii="仿宋_GB2312" w:hAnsi="仿宋_GB2312" w:cs="仿宋_GB2312" w:eastAsia="仿宋_GB2312"/>
                      <w:sz w:val="16"/>
                      <w:color w:val="000000"/>
                    </w:rPr>
                    <w:t>33</w:t>
                  </w:r>
                  <w:r>
                    <w:rPr>
                      <w:rFonts w:ascii="仿宋_GB2312" w:hAnsi="仿宋_GB2312" w:cs="仿宋_GB2312" w:eastAsia="仿宋_GB2312"/>
                      <w:sz w:val="16"/>
                      <w:color w:val="000000"/>
                    </w:rPr>
                    <w:t>项色臭味、漂浮物质、悬浮物质、</w:t>
                  </w:r>
                  <w:r>
                    <w:rPr>
                      <w:rFonts w:ascii="仿宋_GB2312" w:hAnsi="仿宋_GB2312" w:cs="仿宋_GB2312" w:eastAsia="仿宋_GB2312"/>
                      <w:sz w:val="16"/>
                      <w:color w:val="000000"/>
                    </w:rPr>
                    <w:t>pH、溶解氧、生化需氧量（5天，20℃）、总大肠菌群、汞、镉、铅、铬、铜、锌、镍、砷、氰化物、硫化物、氟化物、非离子氨、凯氏氮、挥发性酚、黄磷、石油类、丙烯腈、丙烯醛、六六六（丙体）、滴滴涕、马拉硫磷、五氯酚钠、乐果、甲胺磷、甲基对硫磷和呋喃丹。</w:t>
                  </w:r>
                  <w:r>
                    <w:rPr>
                      <w:rFonts w:ascii="仿宋_GB2312" w:hAnsi="仿宋_GB2312" w:cs="仿宋_GB2312" w:eastAsia="仿宋_GB2312"/>
                      <w:sz w:val="16"/>
                      <w:b/>
                      <w:color w:val="000000"/>
                    </w:rPr>
                    <w:t>（除去悬浮物质、</w:t>
                  </w:r>
                  <w:r>
                    <w:rPr>
                      <w:rFonts w:ascii="仿宋_GB2312" w:hAnsi="仿宋_GB2312" w:cs="仿宋_GB2312" w:eastAsia="仿宋_GB2312"/>
                      <w:sz w:val="16"/>
                      <w:b/>
                      <w:color w:val="000000"/>
                    </w:rPr>
                    <w:t>pH、溶解氧、汞、镉、铅、铬、铜、锌、镍、砷、石油类，共12项）</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半年</w:t>
                  </w:r>
                  <w:r>
                    <w:rPr>
                      <w:rFonts w:ascii="仿宋_GB2312" w:hAnsi="仿宋_GB2312" w:cs="仿宋_GB2312" w:eastAsia="仿宋_GB2312"/>
                      <w:sz w:val="16"/>
                      <w:color w:val="000000"/>
                    </w:rPr>
                    <w:t>1</w:t>
                  </w:r>
                  <w:r>
                    <w:rPr>
                      <w:rFonts w:ascii="仿宋_GB2312" w:hAnsi="仿宋_GB2312" w:cs="仿宋_GB2312" w:eastAsia="仿宋_GB2312"/>
                      <w:sz w:val="16"/>
                      <w:color w:val="000000"/>
                    </w:rPr>
                    <w:t>次，全年</w:t>
                  </w:r>
                  <w:r>
                    <w:rPr>
                      <w:rFonts w:ascii="仿宋_GB2312" w:hAnsi="仿宋_GB2312" w:cs="仿宋_GB2312" w:eastAsia="仿宋_GB2312"/>
                      <w:sz w:val="16"/>
                      <w:color w:val="000000"/>
                    </w:rPr>
                    <w:t>2</w:t>
                  </w:r>
                  <w:r>
                    <w:rPr>
                      <w:rFonts w:ascii="仿宋_GB2312" w:hAnsi="仿宋_GB2312" w:cs="仿宋_GB2312" w:eastAsia="仿宋_GB2312"/>
                      <w:sz w:val="16"/>
                      <w:color w:val="000000"/>
                    </w:rPr>
                    <w:t>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送样</w:t>
                  </w:r>
                </w:p>
              </w:tc>
            </w:tr>
            <w:tr>
              <w:tc>
                <w:tcPr>
                  <w:tcW w:type="dxa" w:w="129"/>
                  <w:vMerge/>
                  <w:tcBorders>
                    <w:top w:val="none" w:color="000000" w:sz="4"/>
                    <w:left w:val="single" w:color="000000" w:sz="4"/>
                    <w:bottom w:val="single" w:color="000000" w:sz="4"/>
                    <w:right w:val="single" w:color="000000" w:sz="4"/>
                  </w:tcBorders>
                </w:tcPr>
                <w:p/>
              </w:tc>
              <w:tc>
                <w:tcPr>
                  <w:tcW w:type="dxa" w:w="276"/>
                  <w:vMerge/>
                  <w:tcBorders>
                    <w:top w:val="none" w:color="000000" w:sz="4"/>
                    <w:left w:val="none" w:color="000000" w:sz="4"/>
                    <w:bottom w:val="single" w:color="000000" w:sz="4"/>
                    <w:right w:val="single" w:color="000000" w:sz="4"/>
                  </w:tcBorders>
                </w:tcPr>
                <w:p/>
              </w:tc>
              <w:tc>
                <w:tcPr>
                  <w:tcW w:type="dxa" w:w="359"/>
                  <w:vMerge/>
                  <w:tcBorders>
                    <w:top w:val="none" w:color="000000" w:sz="4"/>
                    <w:left w:val="non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出水：《淡水池塘养殖水排放要求》（</w:t>
                  </w:r>
                  <w:r>
                    <w:rPr>
                      <w:rFonts w:ascii="仿宋_GB2312" w:hAnsi="仿宋_GB2312" w:cs="仿宋_GB2312" w:eastAsia="仿宋_GB2312"/>
                      <w:sz w:val="16"/>
                      <w:color w:val="000000"/>
                    </w:rPr>
                    <w:t>SC/T 9101</w:t>
                  </w:r>
                  <w:r>
                    <w:rPr>
                      <w:rFonts w:ascii="仿宋_GB2312" w:hAnsi="仿宋_GB2312" w:cs="仿宋_GB2312" w:eastAsia="仿宋_GB2312"/>
                      <w:sz w:val="16"/>
                      <w:color w:val="000000"/>
                    </w:rPr>
                    <w:t>—</w:t>
                  </w:r>
                  <w:r>
                    <w:rPr>
                      <w:rFonts w:ascii="仿宋_GB2312" w:hAnsi="仿宋_GB2312" w:cs="仿宋_GB2312" w:eastAsia="仿宋_GB2312"/>
                      <w:sz w:val="16"/>
                      <w:color w:val="000000"/>
                    </w:rPr>
                    <w:t>2007</w:t>
                  </w:r>
                  <w:r>
                    <w:rPr>
                      <w:rFonts w:ascii="仿宋_GB2312" w:hAnsi="仿宋_GB2312" w:cs="仿宋_GB2312" w:eastAsia="仿宋_GB2312"/>
                      <w:sz w:val="16"/>
                      <w:color w:val="000000"/>
                    </w:rPr>
                    <w:t>）表</w:t>
                  </w:r>
                  <w:r>
                    <w:rPr>
                      <w:rFonts w:ascii="仿宋_GB2312" w:hAnsi="仿宋_GB2312" w:cs="仿宋_GB2312" w:eastAsia="仿宋_GB2312"/>
                      <w:sz w:val="16"/>
                      <w:color w:val="000000"/>
                    </w:rPr>
                    <w:t>1</w:t>
                  </w:r>
                  <w:r>
                    <w:rPr>
                      <w:rFonts w:ascii="仿宋_GB2312" w:hAnsi="仿宋_GB2312" w:cs="仿宋_GB2312" w:eastAsia="仿宋_GB2312"/>
                      <w:sz w:val="16"/>
                      <w:color w:val="000000"/>
                    </w:rPr>
                    <w:t>中</w:t>
                  </w:r>
                  <w:r>
                    <w:rPr>
                      <w:rFonts w:ascii="仿宋_GB2312" w:hAnsi="仿宋_GB2312" w:cs="仿宋_GB2312" w:eastAsia="仿宋_GB2312"/>
                      <w:sz w:val="16"/>
                      <w:color w:val="000000"/>
                    </w:rPr>
                    <w:t>10</w:t>
                  </w:r>
                  <w:r>
                    <w:rPr>
                      <w:rFonts w:ascii="仿宋_GB2312" w:hAnsi="仿宋_GB2312" w:cs="仿宋_GB2312" w:eastAsia="仿宋_GB2312"/>
                      <w:sz w:val="16"/>
                      <w:color w:val="000000"/>
                    </w:rPr>
                    <w:t>项。悬浮物、</w:t>
                  </w:r>
                  <w:r>
                    <w:rPr>
                      <w:rFonts w:ascii="仿宋_GB2312" w:hAnsi="仿宋_GB2312" w:cs="仿宋_GB2312" w:eastAsia="仿宋_GB2312"/>
                      <w:sz w:val="16"/>
                      <w:color w:val="000000"/>
                    </w:rPr>
                    <w:t>pH、化学需氧量（CODMn）、生化需氧量（BOD5）、锌、铜、总磷、总氮、硫化物和总余氯。</w:t>
                  </w:r>
                  <w:r>
                    <w:rPr>
                      <w:rFonts w:ascii="仿宋_GB2312" w:hAnsi="仿宋_GB2312" w:cs="仿宋_GB2312" w:eastAsia="仿宋_GB2312"/>
                      <w:sz w:val="16"/>
                      <w:b/>
                      <w:color w:val="000000"/>
                    </w:rPr>
                    <w:t>（除去悬浮物、</w:t>
                  </w:r>
                  <w:r>
                    <w:rPr>
                      <w:rFonts w:ascii="仿宋_GB2312" w:hAnsi="仿宋_GB2312" w:cs="仿宋_GB2312" w:eastAsia="仿宋_GB2312"/>
                      <w:sz w:val="16"/>
                      <w:b/>
                      <w:color w:val="000000"/>
                    </w:rPr>
                    <w:t>pH、化学需氧量（CODMn）、锌、铜、总磷、总氮，共7项）</w:t>
                  </w:r>
                </w:p>
              </w:tc>
              <w:tc>
                <w:tcPr>
                  <w:tcW w:type="dxa" w:w="497"/>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送样</w:t>
                  </w:r>
                </w:p>
              </w:tc>
            </w:tr>
            <w:tr>
              <w:tc>
                <w:tcPr>
                  <w:tcW w:type="dxa" w:w="129"/>
                  <w:vMerge/>
                  <w:tcBorders>
                    <w:top w:val="none" w:color="000000" w:sz="4"/>
                    <w:left w:val="single" w:color="000000" w:sz="4"/>
                    <w:bottom w:val="single" w:color="000000" w:sz="4"/>
                    <w:right w:val="single" w:color="000000" w:sz="4"/>
                  </w:tcBorders>
                </w:tcPr>
                <w:p/>
              </w:tc>
              <w:tc>
                <w:tcPr>
                  <w:tcW w:type="dxa" w:w="276"/>
                  <w:vMerge/>
                  <w:tcBorders>
                    <w:top w:val="none" w:color="000000" w:sz="4"/>
                    <w:left w:val="none" w:color="000000" w:sz="4"/>
                    <w:bottom w:val="single" w:color="000000" w:sz="4"/>
                    <w:right w:val="single" w:color="000000" w:sz="4"/>
                  </w:tcBorders>
                </w:tc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地下水区域点位</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县城汉源筒车河村</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水质和水位。《地下水质量标准》表</w:t>
                  </w:r>
                  <w:r>
                    <w:rPr>
                      <w:rFonts w:ascii="仿宋_GB2312" w:hAnsi="仿宋_GB2312" w:cs="仿宋_GB2312" w:eastAsia="仿宋_GB2312"/>
                      <w:sz w:val="16"/>
                      <w:color w:val="000000"/>
                    </w:rPr>
                    <w:t>1</w:t>
                  </w:r>
                  <w:r>
                    <w:rPr>
                      <w:rFonts w:ascii="仿宋_GB2312" w:hAnsi="仿宋_GB2312" w:cs="仿宋_GB2312" w:eastAsia="仿宋_GB2312"/>
                      <w:sz w:val="16"/>
                      <w:color w:val="000000"/>
                    </w:rPr>
                    <w:t>中</w:t>
                  </w:r>
                  <w:r>
                    <w:rPr>
                      <w:rFonts w:ascii="仿宋_GB2312" w:hAnsi="仿宋_GB2312" w:cs="仿宋_GB2312" w:eastAsia="仿宋_GB2312"/>
                      <w:sz w:val="16"/>
                      <w:color w:val="000000"/>
                    </w:rPr>
                    <w:t>29项， pH、硫酸盐、氯化物、铁、锰、铜、锌、铝、挥发性酚类(以苯酚计)、阴离子表面活性剂、耗氧量(CODmn法，以02计)、氨氮(以N计)、硫化物、钠、亚硝酸盐(以N计)、硝酸盐(以N计)、氰化物、氟化物、碘化物、汞、砷、硒、镉、铬(六价)、铅、三氯甲烷、四氯化碳、苯和甲苯。</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一年一次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1.成交供应商向采购人提交项目实施过程中的所有资料。2.验收须以合同、磋商文件及响应文件、澄清、及国家相应的标准、规范等为依据。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进度款，在服务期满后，达到付款条件起10个工作日内，支付合同总金额的50.0%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第七十三条、《中华人民共和国民法典》第五百七十七条中的相关条款执行。未按合同或采购文件要求提供的产品或者服务，服务不能满足采购人技术要求，采购单份有权终止合同，甚至对供应商讳约行为进行追究。本合同在履行过程中发生的争议，由甲、乙,双方当事人协商解决，协商不成的依法向采购人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注：提供加盖公章的复印件】</w:t>
            </w:r>
          </w:p>
        </w:tc>
        <w:tc>
          <w:tcPr>
            <w:tcW w:type="dxa" w:w="332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提供具有有效的检验检测机构资质认定证书(CMA)，检测能力附表应具有水质、噪声、废气检测能力。【注：提供加盖公章的证照复印件；供应商需在本项目电子化交易系统中按要求上传相关证明文件并签章】</w:t>
            </w:r>
          </w:p>
        </w:tc>
        <w:tc>
          <w:tcPr>
            <w:tcW w:type="dxa" w:w="3322"/>
          </w:tcPr>
          <w:p>
            <w:pPr>
              <w:pStyle w:val="null3"/>
            </w:pPr>
            <w:r>
              <w:rPr>
                <w:rFonts w:ascii="仿宋_GB2312" w:hAnsi="仿宋_GB2312" w:cs="仿宋_GB2312" w:eastAsia="仿宋_GB2312"/>
              </w:rPr>
              <w:t>供应商提供具有有效的检验检测机构资质认定证书(CMA)，检测能力附表应具有水质、噪声、废气检测能力。供应商需在本项目电子化交易系统中按要求上传相关证明文件并签章；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本次竞争性磋商活动：其中法定代表人直接参加的，须出具法人身份证，并与营业执照上信息一致；授权代表参加的，须出具法定代表人授权书及被授权人身份证【注：提供加盖公章的证照复印件】</w:t>
            </w:r>
          </w:p>
        </w:tc>
        <w:tc>
          <w:tcPr>
            <w:tcW w:type="dxa" w:w="3322"/>
          </w:tcPr>
          <w:p>
            <w:pPr>
              <w:pStyle w:val="null3"/>
            </w:pPr>
            <w:r>
              <w:rPr>
                <w:rFonts w:ascii="仿宋_GB2312" w:hAnsi="仿宋_GB2312" w:cs="仿宋_GB2312" w:eastAsia="仿宋_GB2312"/>
              </w:rPr>
              <w:t>供应商应授权合法的人员参加本次竞争性磋商活动：其中法定代表人直接参加的，须出具法人身份证，并与营业执照上信息一致；授权代表参加的，须出具法定代表人授权书及被授权人身份证，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本项目不接受联合体磋商，单位负责人为同一人或者存在控股、管理关系的不同单位不得同时参与本项目磋商响应【注：提供“供应商非联合体”声明函】</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注：按照汉中市财政局《关于全面推行政府采购投标人基本资格条件承诺制的通知》（汉财办采管〔2024〕20号）文件要求，提供满足相应条件的资格承诺函（格式详见附件）】</w:t>
            </w:r>
          </w:p>
        </w:tc>
        <w:tc>
          <w:tcPr>
            <w:tcW w:type="dxa" w:w="3322"/>
          </w:tcPr>
          <w:p>
            <w:pPr>
              <w:pStyle w:val="null3"/>
            </w:pPr>
            <w:r>
              <w:rPr>
                <w:rFonts w:ascii="仿宋_GB2312" w:hAnsi="仿宋_GB2312" w:cs="仿宋_GB2312" w:eastAsia="仿宋_GB2312"/>
              </w:rPr>
              <w:t>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供应商按规定缴纳了磋商保证金或提供磋商担保函【注：提供加盖公章的复印件。供应商需在本项目电子化交易系统中按要求上传相关证明文件并电子签章】</w:t>
            </w:r>
          </w:p>
        </w:tc>
        <w:tc>
          <w:tcPr>
            <w:tcW w:type="dxa" w:w="3322"/>
          </w:tcPr>
          <w:p>
            <w:pPr>
              <w:pStyle w:val="null3"/>
            </w:pPr>
            <w:r>
              <w:rPr>
                <w:rFonts w:ascii="仿宋_GB2312" w:hAnsi="仿宋_GB2312" w:cs="仿宋_GB2312" w:eastAsia="仿宋_GB2312"/>
              </w:rPr>
              <w:t>按规定缴纳了磋商保证金或提供磋商担保函看，供应商需在本项目电子化交易系统中按要求上传相关证明文件并签章。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分项报价表.xlsx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应满⾜磋商⽂件中的规定；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磋商响应⽂件未附有违背法律法规和政府规章规定的其他条件；磋商响应⽂件符合磋商⽂件中规定的其他实质性要求。</w:t>
            </w:r>
          </w:p>
        </w:tc>
        <w:tc>
          <w:tcPr>
            <w:tcW w:type="dxa" w:w="1661"/>
          </w:tcPr>
          <w:p>
            <w:pPr>
              <w:pStyle w:val="null3"/>
            </w:pPr>
            <w:r>
              <w:rPr>
                <w:rFonts w:ascii="仿宋_GB2312" w:hAnsi="仿宋_GB2312" w:cs="仿宋_GB2312" w:eastAsia="仿宋_GB2312"/>
              </w:rPr>
              <w:t>商务应答表 服务内容及服务要求应答表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 年 1 月 1 日至今完成的类似业绩证明，每提供一份计2.5 分，最高计 5.0 分；（以合同签订日期为准） 注：业绩须是供应商完成的类似项目，以成交通知书或协议书（合同）原件或加盖公章的复印件为准。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针对本项目设备配备</w:t>
            </w:r>
          </w:p>
        </w:tc>
        <w:tc>
          <w:tcPr>
            <w:tcW w:type="dxa" w:w="2492"/>
          </w:tcPr>
          <w:p>
            <w:pPr>
              <w:pStyle w:val="null3"/>
            </w:pPr>
            <w:r>
              <w:rPr>
                <w:rFonts w:ascii="仿宋_GB2312" w:hAnsi="仿宋_GB2312" w:cs="仿宋_GB2312" w:eastAsia="仿宋_GB2312"/>
              </w:rPr>
              <w:t>1. 监测相关设备清单（2分） 提供监测相关设备清单的，得2分；未提供的，得0分。 2. 监测设备证明及设备配置水平（9分） ① 同时提供监测相关设备归属证明材料（规格型号、数量、设备照片、购置发票等可证明设备归属资料），且设备具备针对性、先进性、全面性，得9分； ② 提供监测相关设备清单（含规格型号、数量、设备照片），且设备具备针对性、先进性、全面性，得7分； ③提供监测相关设备清单（含规格型号、数量），且设备具备针对性，得5分； ④仅提供监测相关设备清单（含数量），且设备具备针对性，得3分； 注：不满足上述情形，按实际对应档次得分，无相关材料不得分。 3. 设备维护保障措施（2分） 提供设备维护保障措施材料的，得2分；未提供的，得0分。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服务人员履约能力</w:t>
            </w:r>
          </w:p>
        </w:tc>
        <w:tc>
          <w:tcPr>
            <w:tcW w:type="dxa" w:w="2492"/>
          </w:tcPr>
          <w:p>
            <w:pPr>
              <w:pStyle w:val="null3"/>
            </w:pPr>
            <w:r>
              <w:rPr>
                <w:rFonts w:ascii="仿宋_GB2312" w:hAnsi="仿宋_GB2312" w:cs="仿宋_GB2312" w:eastAsia="仿宋_GB2312"/>
              </w:rPr>
              <w:t>1. 提供团队组织人员配置明细表得4分，不提供不得分； 2. 配备1名项目负责人，具有相关专业中级及以上职称证明（职称专业包含但不限于：涵盖环境监测、分析化学、水文水资源、环境工程、地质/水文地质及仪器运维等专业），并提供身份证及合同等证明材料得2分； 3. 配备1名项目技术负责人，具有相关专业中级及以上职称证明（职称专业包含但不限于：涵盖环境监测、分析化学、水文水资源、环境工程、地质/水文地质及仪器运维等专业），并提供身份证及合同等证明材料得2分； 4. 除项目负责人及项目技术负责人外，提供5名及以上配置人员相关身份证明得5分；提供4名配置人员相关身份证明得4分，提供3名配置人员相关身份证明得3分，不足3人或不提供均不得分，本项最高5分； 5.提供人员到场及不随意更换人员承诺得 2 分，不提供不得分。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1.供应商针对服务要求提供整个项目完成期限内服务质量承诺得2分，不提供不得分。 2.供应商提供人员到位情况及服务响应时间的承诺得3分，不提供不得分。 3.供应商提供监测结果真实、合法的承诺得3分，不提供不得分。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供应商针对本项目提供服务保障措施，内容需结合前述服务方案，并考虑结合项目实际，能够切实保证服务质量。 1.评审内容：（1）服务目标与理解；（2）服务实施步骤计划（服务工作流程）；（3）数据和信息安全保密措施；（4）工作重点与难点分析及对应措施。 2.评审标准：（1）全面性:内容完整、全面，包括所有评审内容，无遗漏；（2）详细性:内容详细,针对每一评审内容能够有明确具体的描述和说明；（3）合理性:内容合理,准确，符合项目实际情况，有利于项目的实施。 （18分） 3.赋分标准：每一项评审内容满足每一项评审标准的得1.5分，最多得 4.5分。每一项内容相对每一项评审标准存在一处漏洞或缺陷扣0.3-0.5分，4.5分扣完为止。未提供相关评审内容的，该项得0分。 说明：内容存在漏洞或缺陷是指出现下列任一种情形：（1）套用其他项目内容，非专门针对本项目或不适用项目特性；（2）内容表述不完整，或前后不一致，或存在逻辑或内容错误；（3）可行性或实用性不强；（4）其他不合理、不完善的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服务团队组织方案</w:t>
            </w:r>
          </w:p>
        </w:tc>
        <w:tc>
          <w:tcPr>
            <w:tcW w:type="dxa" w:w="2492"/>
          </w:tcPr>
          <w:p>
            <w:pPr>
              <w:pStyle w:val="null3"/>
            </w:pPr>
            <w:r>
              <w:rPr>
                <w:rFonts w:ascii="仿宋_GB2312" w:hAnsi="仿宋_GB2312" w:cs="仿宋_GB2312" w:eastAsia="仿宋_GB2312"/>
              </w:rPr>
              <w:t>供应商针对本项目提供服务团队组织方案，贴合项目实际需求。 1.评审内容：（1）项目实施团队组织方案；（2）岗位工作职责及管理制度；（3）服务人员考核制度及培训日常培训教育计划。 2. 评审标准：（1）全面性:内容完整、全面，包括所有评审内容，无遗漏；（2）详细性:内容详细,针对每一评审内容能够有明确具体的描服务团队述和说明；（3）合理性:内容合理,准确，符合项目实际情况，有利于组织方案项目的实施。（9 分） 3.赋分标准：每一项评审内容满足每项评审标准的得 1 分，最多得 3 分。每一项内容相对每一项评审标准存在一处漏洞或缺陷扣 0.3-0.5分，3 分扣完为止。未提供相关评审内容的，该项得 0 分。 说明：内容 存在漏洞或缺陷是指出现下列任一种情形：（1）套用其他项目内容，非专门针对本项目或不适用项目特性；（2）内容表述不完整，或前后不一致，或存在逻辑或内容错误；（3）可行性或实用性不强；（4）其他不合理、不完善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供应商针对本项目提供服务保障措施，内容需结合前述服务方案，并考虑结合项目实际，能够切实保证服务质量。 1.评审内容：（1）质量保障措施；（2）安全保障措施；（3）进度保障措施；（4）应急保障措施。 2.评审标准：（1）全面性:内容完整、全面，包括所有评审内容，无遗漏；（2）详细性:内容详细,针对每一评审内容能够有明确具体的描述服务保障和说明；（3）合理性:内容合理,准确，符合项目实际情况，有利于项措施目的实施。 （12分） 3.赋分标准：每一项评审内容满足每一项评审标准的得1分，最多得3分。每一项内容相对每一项评审标准存在一处漏洞或缺陷扣0.3-0.5分，3分扣完为止。未提供相关评审内容的，该项得0分。 说明：内容存在漏洞或缺陷是指出现下列任一种情形：（1）套用其他项目内容，非专门针对本项目或不适用项目特性；（2）内容表述不完整，或前后不一致，或存在逻辑或内容错误；（3）可行性或实用性不强；（4）其他不合理、不完善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2、以满足本次招标文件要求的最低报价为评标基准价，其价格为满分； 3、不享有政策优惠条件的供应商报价得分=（评标基准价/投标报价）×20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详见附件：分项报价表.xlsx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