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版本号：JZZBSL-【2026】-1220260617001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商洛市西电东送储能基地研究论证报告</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JZZBSL-【2026】-12</w:t>
      </w:r>
      <w:r>
        <w:br/>
      </w:r>
      <w:r>
        <w:br/>
      </w:r>
      <w:r>
        <w:br/>
      </w:r>
    </w:p>
    <w:p>
      <w:pPr>
        <w:pStyle w:val="null3"/>
        <w:jc w:val="center"/>
        <w:outlineLvl w:val="2"/>
      </w:pPr>
      <w:r>
        <w:rPr>
          <w:rFonts w:ascii="仿宋_GB2312" w:hAnsi="仿宋_GB2312" w:cs="仿宋_GB2312" w:eastAsia="仿宋_GB2312"/>
          <w:sz w:val="28"/>
          <w:b/>
        </w:rPr>
        <w:t>商洛市发展和改革委员会</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商洛市发展和改革委员会</w:t>
      </w:r>
      <w:r>
        <w:rPr>
          <w:rFonts w:ascii="仿宋_GB2312" w:hAnsi="仿宋_GB2312" w:cs="仿宋_GB2312" w:eastAsia="仿宋_GB2312"/>
        </w:rPr>
        <w:t>委托，拟对</w:t>
      </w:r>
      <w:r>
        <w:rPr>
          <w:rFonts w:ascii="仿宋_GB2312" w:hAnsi="仿宋_GB2312" w:cs="仿宋_GB2312" w:eastAsia="仿宋_GB2312"/>
        </w:rPr>
        <w:t>商洛市西电东送储能基地研究论证报告</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JZZBSL-【2026】-12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商洛市西电东送储能基地研究论证报告</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研究将商洛建设成以抽水蓄能为主，综合化学储备、空气储能等多种储能形式的电力调节基地，成为我国新能源西电东送重要调节基地是否具备可能性以及路径方法，并形成研究报告。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2、法定代表人授权书：法定代表人授权书及被授权人身份证明。（法定代表人直接磋商只须提交其身份证明）</w:t>
      </w:r>
    </w:p>
    <w:p>
      <w:pPr>
        <w:pStyle w:val="null3"/>
      </w:pPr>
      <w:r>
        <w:rPr>
          <w:rFonts w:ascii="仿宋_GB2312" w:hAnsi="仿宋_GB2312" w:cs="仿宋_GB2312" w:eastAsia="仿宋_GB2312"/>
        </w:rPr>
        <w:t>3、信誉要求：供应商未被“信用中国”网站（ 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4、税收缴纳证明：供应商应提供响应文件递交截止日期前6个月内已缴纳的任意一个月的纳税证明（任意税种）或完税证明，依法免税的单位应提供相关证明材料</w:t>
      </w:r>
    </w:p>
    <w:p>
      <w:pPr>
        <w:pStyle w:val="null3"/>
      </w:pPr>
      <w:r>
        <w:rPr>
          <w:rFonts w:ascii="仿宋_GB2312" w:hAnsi="仿宋_GB2312" w:cs="仿宋_GB2312" w:eastAsia="仿宋_GB2312"/>
        </w:rPr>
        <w:t>5、社会保障资金缴纳证明：供应商应提供响应文件递交截止日期前6个月内已缴纳的任意一个月的社会保障资金银行缴费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6、参加本次政府采购活动前三年内在经营活动中没有重大违纪：提供参加本次政府采购活动前三年内在经营活动中没有重大违纪书面声明</w:t>
      </w:r>
    </w:p>
    <w:p>
      <w:pPr>
        <w:pStyle w:val="null3"/>
      </w:pPr>
      <w:r>
        <w:rPr>
          <w:rFonts w:ascii="仿宋_GB2312" w:hAnsi="仿宋_GB2312" w:cs="仿宋_GB2312" w:eastAsia="仿宋_GB2312"/>
        </w:rPr>
        <w:t>7、联合体响应：本项目不接受联合体响应，不允许分包。供应商须提供《非联合体不分包响应声明》。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商州区名人街46号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商洛市发展和改革委员会经办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13992414042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商洛市环保局对面金泽盛业三楼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0914-2891234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开户名称：陕西金泽盛业项目管理有限公司商洛分公司</w:t>
            </w:r>
          </w:p>
          <w:p>
            <w:pPr>
              <w:pStyle w:val="null3"/>
            </w:pPr>
            <w:r>
              <w:rPr>
                <w:rFonts w:ascii="仿宋_GB2312" w:hAnsi="仿宋_GB2312" w:cs="仿宋_GB2312" w:eastAsia="仿宋_GB2312"/>
              </w:rPr>
              <w:t>开户银行：西安银行股份有限公司商洛分行</w:t>
            </w:r>
          </w:p>
          <w:p>
            <w:pPr>
              <w:pStyle w:val="null3"/>
            </w:pPr>
            <w:r>
              <w:rPr>
                <w:rFonts w:ascii="仿宋_GB2312" w:hAnsi="仿宋_GB2312" w:cs="仿宋_GB2312" w:eastAsia="仿宋_GB2312"/>
              </w:rPr>
              <w:t>银行账号：751011580000014275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代理服务费收费标准：依据国家计委计价格[2002]1980号《招标代理服务收费管理暂行办法》和《关于招标代理服务收费有关问题的通知》（发改办价格[2003]857 号）及《国家发展改革委关于降低部分建设项目收费标准规范收费行为等有关问题的通知》（发改价格[2011]534号）规定标准收取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商洛市发展和改革委员会</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联系人：李妍</w:t>
      </w:r>
    </w:p>
    <w:p>
      <w:pPr>
        <w:pStyle w:val="null3"/>
      </w:pPr>
      <w:r>
        <w:rPr>
          <w:rFonts w:ascii="仿宋_GB2312" w:hAnsi="仿宋_GB2312" w:cs="仿宋_GB2312" w:eastAsia="仿宋_GB2312"/>
        </w:rPr>
        <w:t>联系电话：0914-2891234</w:t>
      </w:r>
    </w:p>
    <w:p>
      <w:pPr>
        <w:pStyle w:val="null3"/>
      </w:pPr>
      <w:r>
        <w:rPr>
          <w:rFonts w:ascii="仿宋_GB2312" w:hAnsi="仿宋_GB2312" w:cs="仿宋_GB2312" w:eastAsia="仿宋_GB2312"/>
        </w:rPr>
        <w:t>地址：商洛市环保局对面金泽盛业三楼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研究将商洛建设成以抽水蓄能为主，综合化学储备、空气储能等多种储能形式的电力调节基地，成为我国新能源西电东送重要调节基地是否具备可能性以及路径方法，并形成研究报告。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商洛市西电东送储能基地研究论证报告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标的名称：商洛市西电东送储能基地研究论证报告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开展商洛市西电东送储能基地研究工作，重点研究商洛建成以抽水蓄能为主，综合化学储能、空气储能等多种储能形式的电力调节基地的可能性以及路径方法，并形成研究报告。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质量标准：符合国家及行业质量验收合格标准。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进度要求：合同签订后</w:t>
            </w:r>
            <w:r>
              <w:rPr>
                <w:rFonts w:ascii="仿宋_GB2312" w:hAnsi="仿宋_GB2312" w:cs="仿宋_GB2312" w:eastAsia="仿宋_GB2312"/>
                <w:sz w:val="21"/>
              </w:rPr>
              <w:t>50</w:t>
            </w:r>
            <w:r>
              <w:rPr>
                <w:rFonts w:ascii="仿宋_GB2312" w:hAnsi="仿宋_GB2312" w:cs="仿宋_GB2312" w:eastAsia="仿宋_GB2312"/>
                <w:sz w:val="21"/>
              </w:rPr>
              <w:t>日內提交报告初稿；</w:t>
            </w:r>
            <w:r>
              <w:rPr>
                <w:rFonts w:ascii="仿宋_GB2312" w:hAnsi="仿宋_GB2312" w:cs="仿宋_GB2312" w:eastAsia="仿宋_GB2312"/>
                <w:sz w:val="21"/>
              </w:rPr>
              <w:t>5</w:t>
            </w:r>
            <w:r>
              <w:rPr>
                <w:rFonts w:ascii="仿宋_GB2312" w:hAnsi="仿宋_GB2312" w:cs="仿宋_GB2312" w:eastAsia="仿宋_GB2312"/>
                <w:sz w:val="21"/>
              </w:rPr>
              <w:t>日內完成专家评审；根据评审意见</w:t>
            </w:r>
            <w:r>
              <w:rPr>
                <w:rFonts w:ascii="仿宋_GB2312" w:hAnsi="仿宋_GB2312" w:cs="仿宋_GB2312" w:eastAsia="仿宋_GB2312"/>
                <w:sz w:val="21"/>
              </w:rPr>
              <w:t>5</w:t>
            </w:r>
            <w:r>
              <w:rPr>
                <w:rFonts w:ascii="仿宋_GB2312" w:hAnsi="仿宋_GB2312" w:cs="仿宋_GB2312" w:eastAsia="仿宋_GB2312"/>
                <w:sz w:val="21"/>
              </w:rPr>
              <w:t>日內提交最终成果。</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保密要求：对项目涉及的所有资料及研究成果严格保密，未经采购人书面同意不得向任何第三方泄露。</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知识产权：本项目全部研究成果的知识产权归采购人所有，未经书面同意不得擅自转让、复制或使用。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供应商应根据本项目所需工作的时间要求、深度要求投入相应的技术人员，确保按期完成。</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供应商应根据本项目实际情况投入设施设备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自合同签订之日起60天完成报告编制工作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1.方案编制完成后，由采购单位组织专家对方案编制情况进行审查验收。 2.成交单位若最终未按时提交实施方案，将按违约予以撤项，已拨付的经费要如数退回。 3.因不可抗力原因需要延期验收，编制单位须向采购人提出书面申请。经批准后在一定期限内仍无法完成实施方案编制任务的，应提前报告并办理撤项手续。</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预付款，合同签订后收到乙方开具的发票后30日内，甲方向乙方支付合同总金额的40%，达到付款条件起30个工作日内，支付合同总金额的40.0%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进度款，乙方向甲方提交的本合同项目的《研究报告》通过专家评审会后，甲方确认无误后30日内，甲方向乙方支付合同总金额的60%。，达到付款条件起30个工作日内，支付合同总金额的60.0%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应提供2025年度财务审计报告（至少包括资产负债表和利润表，成立时间至提交响应文件递交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 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供应商应提供响应文件递交截止日期前6个月内已缴纳的任意一个月的纳税证明（任意税种）或完税证明，依法免税的单位应提供相关证明材料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供应商应提供响应文件递交截止日期前6个月内已缴纳的任意一个月的社会保障资金银行缴费单据或社保机构开具的社会保险参保缴费情况证明，依法不需要缴纳社会保障资金的单位应提供相关证明材料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参加本次政府采购活动前三年内在经营活动中没有重大违纪</w:t>
            </w:r>
          </w:p>
        </w:tc>
        <w:tc>
          <w:tcPr>
            <w:tcW w:type="dxa" w:w="3322"/>
          </w:tcPr>
          <w:p>
            <w:pPr>
              <w:pStyle w:val="null3"/>
            </w:pPr>
            <w:r>
              <w:rPr>
                <w:rFonts w:ascii="仿宋_GB2312" w:hAnsi="仿宋_GB2312" w:cs="仿宋_GB2312" w:eastAsia="仿宋_GB2312"/>
              </w:rPr>
              <w:t>提供参加本次政府采购活动前三年内在经营活动中没有重大违纪书面声明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联合体响应</w:t>
            </w:r>
          </w:p>
        </w:tc>
        <w:tc>
          <w:tcPr>
            <w:tcW w:type="dxa" w:w="3322"/>
          </w:tcPr>
          <w:p>
            <w:pPr>
              <w:pStyle w:val="null3"/>
            </w:pPr>
            <w:r>
              <w:rPr>
                <w:rFonts w:ascii="仿宋_GB2312" w:hAnsi="仿宋_GB2312" w:cs="仿宋_GB2312" w:eastAsia="仿宋_GB2312"/>
              </w:rPr>
              <w:t>本项目不接受联合体响应，不允许分包。供应商须提供《非联合体不分包响应声明》。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技术和商务偏离表.docx 业绩证明材料.docx 标的清单 响应函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业绩证明材料.docx 技术和商务偏离表.docx 标的清单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分项报价表.docx 中小企业声明函 残疾人福利性单位声明函 业绩证明材料.docx 技术和商务偏离表.docx 标的清单 响应函 服务方案.docx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评审内容：①项目区域现状分析；②项目需求分析；③可研报告编制思路与方法；④工作内容、要求和工作范围。 评审标准：方案内容专门针对本项目编制，切合本项目实际情况及实施要求，内容与要点相符、每个要点均有展开详细的阐述且能够适用于本项目的，得16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评审内容：①服务内容；②调研方案；③报告编制方案；④审批协调方案。 评审标准：方案内容专门针对本项目编制，切合本项目实际情况及实施要求，内容与要点相符、每个要点均有展开详细的阐述且能够适用于本项目的，得16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项目重难点分析和解决措施</w:t>
            </w:r>
          </w:p>
        </w:tc>
        <w:tc>
          <w:tcPr>
            <w:tcW w:type="dxa" w:w="2492"/>
          </w:tcPr>
          <w:p>
            <w:pPr>
              <w:pStyle w:val="null3"/>
            </w:pPr>
            <w:r>
              <w:rPr>
                <w:rFonts w:ascii="仿宋_GB2312" w:hAnsi="仿宋_GB2312" w:cs="仿宋_GB2312" w:eastAsia="仿宋_GB2312"/>
              </w:rPr>
              <w:t>评审内容：①重难点分析；②解决措施。 评审标准：方案内容专门针对本项目编制，切合本项目实际情况及实施要求，内容与要点相符、每个要点均有展开详细的阐述且能够适用于本项目的，得8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 评审标准：方案内容专门针对本项目编制，切合本项目实际情况及实施要求，内容与要点相符、每个要点均有展开详细的阐述且能够适用于本项目的，得20分；每缺一项扣4分，存在缺陷的一项扣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项目负责人具有高级或以上技术职称，得3分； 具有中级技术职称，得2分； 需提供证书复印件加盖单位公章，未按要求提供不得分。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评审内容：①项目团队配备方案②团队人员的职能分工方案。 评审标准：方案内容专门针对本项目编制，切合本项目实际情况及实施要求，专业人员配置合理，分工明确，责任清晰、内容与要点相符、每个要点均有展开详细的阐述且能够适用于本项目的，得6分；每缺一项扣3分，存在缺陷的一项扣1分，扣完为止。（缺陷是指人员配备不合理、分工不明确、责任不清晰；内容不完整或缺少关键点；非专门针对本项目或不适用本项目特性、套用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廉洁承诺和保密措施</w:t>
            </w:r>
          </w:p>
        </w:tc>
        <w:tc>
          <w:tcPr>
            <w:tcW w:type="dxa" w:w="2492"/>
          </w:tcPr>
          <w:p>
            <w:pPr>
              <w:pStyle w:val="null3"/>
            </w:pPr>
            <w:r>
              <w:rPr>
                <w:rFonts w:ascii="仿宋_GB2312" w:hAnsi="仿宋_GB2312" w:cs="仿宋_GB2312" w:eastAsia="仿宋_GB2312"/>
              </w:rPr>
              <w:t>评审内容：①廉洁承诺②保密措施。 评审标准：方案内容专门针对本项目编制，切合本项目实际情况及实施要求，内容与要点相符、每个要点均有展开详细的阐述且能够适用于本项目的，得4分；每缺一项扣2分，存在缺陷的一项扣1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1.供应商针对本项目提供人员调整承诺(根据项目实际情况采购人有权要求成交供应商增加或调整相关专业人员，费用不予调整)承诺计2分，未提供不计分；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标准：供应商可根据承担类似项目编制经验，结合本项目实际情况提出合理化建议，建议内容完整，符合本项目实际情况，有利于本项目进行实施得3分，缺项不得分，内容存在缺陷的扣1分。（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提供供应商2023年1月至响应文件提交截止日类似项目业绩（以合同复印件为准），每提供一份业绩得2.5分，最高得10分。若提供虚假业绩，一经发现，按无效磋商处理。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